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1"/>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804073"/>
      <w:bookmarkEnd w:id="0"/>
      <w:bookmarkStart w:id="1" w:name="_Toc22953395"/>
      <w:bookmarkEnd w:id="1"/>
    </w:p>
    <w:p>
      <w:pPr>
        <w:pStyle w:val="21"/>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
          <w:bCs/>
          <w:sz w:val="48"/>
          <w:szCs w:val="48"/>
          <w:lang w:val="en-US"/>
        </w:rPr>
      </w:pPr>
      <w:r>
        <w:rPr>
          <w:rFonts w:hint="eastAsia" w:cs="宋体"/>
          <w:b/>
          <w:bCs/>
          <w:sz w:val="48"/>
          <w:szCs w:val="48"/>
          <w:lang w:val="en-US" w:eastAsia="zh-CN"/>
        </w:rPr>
        <w:t>门诊楼配电室七氟丙烷灭火系统安装工程</w:t>
      </w: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 w:val="48"/>
          <w:szCs w:val="48"/>
        </w:rPr>
      </w:pPr>
    </w:p>
    <w:p>
      <w:pPr>
        <w:pStyle w:val="21"/>
        <w:bidi w:val="0"/>
        <w:jc w:val="center"/>
        <w:rPr>
          <w:rStyle w:val="45"/>
          <w:rFonts w:hint="eastAsia" w:ascii="宋体" w:hAnsi="宋体" w:eastAsia="宋体" w:cs="宋体"/>
          <w:b/>
          <w:bCs/>
          <w:color w:val="auto"/>
          <w:szCs w:val="44"/>
        </w:rPr>
      </w:pPr>
      <w:r>
        <w:rPr>
          <w:rStyle w:val="45"/>
          <w:rFonts w:hint="eastAsia" w:cs="宋体"/>
          <w:b/>
          <w:bCs/>
          <w:color w:val="auto"/>
          <w:sz w:val="72"/>
          <w:szCs w:val="72"/>
          <w:lang w:val="en-US" w:eastAsia="zh-CN"/>
        </w:rPr>
        <w:t>采购</w:t>
      </w:r>
      <w:r>
        <w:rPr>
          <w:rStyle w:val="45"/>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3"/>
        <w:rPr>
          <w:rFonts w:hint="eastAsia"/>
        </w:rPr>
      </w:pPr>
    </w:p>
    <w:p>
      <w:pPr>
        <w:pStyle w:val="57"/>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2022</w:t>
      </w:r>
      <w:r>
        <w:rPr>
          <w:rFonts w:hint="eastAsia" w:ascii="宋体" w:hAnsi="宋体" w:eastAsia="宋体" w:cs="宋体"/>
          <w:b/>
          <w:bCs/>
          <w:spacing w:val="40"/>
          <w:sz w:val="34"/>
          <w:szCs w:val="34"/>
        </w:rPr>
        <w:t>年</w:t>
      </w:r>
      <w:r>
        <w:rPr>
          <w:rFonts w:hint="eastAsia" w:ascii="宋体" w:hAnsi="宋体" w:cs="宋体"/>
          <w:b/>
          <w:bCs/>
          <w:spacing w:val="40"/>
          <w:sz w:val="34"/>
          <w:szCs w:val="34"/>
          <w:lang w:val="en-US" w:eastAsia="zh-CN"/>
        </w:rPr>
        <w:t>10</w:t>
      </w:r>
      <w:r>
        <w:rPr>
          <w:rFonts w:hint="eastAsia" w:ascii="宋体" w:hAnsi="宋体" w:eastAsia="宋体" w:cs="宋体"/>
          <w:b/>
          <w:bCs/>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1"/>
        <w:rPr>
          <w:color w:val="auto"/>
          <w:highlight w:val="none"/>
        </w:rPr>
      </w:pPr>
    </w:p>
    <w:p>
      <w:pPr>
        <w:pStyle w:val="26"/>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19</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1"/>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keepNext w:val="0"/>
        <w:keepLines w:val="0"/>
        <w:pageBreakBefore w:val="0"/>
        <w:widowControl w:val="0"/>
        <w:kinsoku/>
        <w:wordWrap/>
        <w:overflowPunct/>
        <w:topLinePunct w:val="0"/>
        <w:autoSpaceDE/>
        <w:autoSpaceDN/>
        <w:bidi w:val="0"/>
        <w:adjustRightInd/>
        <w:snapToGrid/>
        <w:spacing w:before="161" w:beforeLines="50" w:after="161" w:afterLines="50" w:line="360" w:lineRule="auto"/>
        <w:jc w:val="center"/>
        <w:textAlignment w:val="auto"/>
        <w:outlineLvl w:val="0"/>
        <w:rPr>
          <w:rFonts w:ascii="宋体" w:hAnsi="宋体"/>
          <w:b/>
          <w:color w:val="auto"/>
          <w:sz w:val="32"/>
          <w:szCs w:val="32"/>
          <w:highlight w:val="none"/>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 xml:space="preserve"> </w:t>
      </w:r>
      <w:r>
        <w:rPr>
          <w:rFonts w:hint="eastAsia" w:ascii="宋体" w:hAnsi="宋体" w:cs="宋体"/>
          <w:color w:val="auto"/>
          <w:u w:val="single"/>
          <w:lang w:val="en-US" w:eastAsia="zh-CN"/>
        </w:rPr>
        <w:t>门诊楼配电室七氟丙烷灭火系统安装工程</w:t>
      </w:r>
      <w:r>
        <w:rPr>
          <w:rFonts w:hint="eastAsia" w:ascii="宋体" w:hAnsi="宋体" w:eastAsia="宋体" w:cs="宋体"/>
          <w:color w:val="auto"/>
          <w:u w:val="single"/>
          <w:lang w:val="en-US" w:eastAsia="zh-CN"/>
        </w:rPr>
        <w:t xml:space="preserve"> </w:t>
      </w:r>
      <w:r>
        <w:rPr>
          <w:rFonts w:hint="eastAsia" w:ascii="宋体" w:hAnsi="宋体" w:eastAsia="宋体" w:cs="宋体"/>
          <w:i w:val="0"/>
          <w:iCs w:val="0"/>
          <w:color w:val="auto"/>
          <w:u w:val="none"/>
          <w:lang w:val="en-US" w:eastAsia="zh-CN"/>
        </w:rPr>
        <w:t>项目</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yellow"/>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lang w:eastAsia="zh-CN"/>
        </w:rPr>
        <w:t>门诊楼配电室七氟丙烷灭火系统安装工程</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kern w:val="0"/>
          <w:szCs w:val="21"/>
          <w:highlight w:val="none"/>
          <w:u w:val="none"/>
          <w:lang w:val="en-US" w:eastAsia="zh-CN"/>
        </w:rPr>
        <w:t>10万</w:t>
      </w:r>
      <w:r>
        <w:rPr>
          <w:rFonts w:hint="eastAsia" w:ascii="宋体" w:hAnsi="宋体" w:eastAsia="宋体" w:cs="宋体"/>
          <w:color w:val="auto"/>
          <w:szCs w:val="21"/>
          <w:highlight w:val="none"/>
          <w:shd w:val="clear" w:color="auto" w:fill="FFFFFF"/>
        </w:rPr>
        <w:t>元</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lang w:val="en-US" w:eastAsia="zh-CN"/>
        </w:rPr>
        <w:t>自筹资金；</w:t>
      </w:r>
    </w:p>
    <w:p>
      <w:pPr>
        <w:widowControl/>
        <w:tabs>
          <w:tab w:val="left" w:pos="840"/>
        </w:tabs>
        <w:snapToGrid w:val="0"/>
        <w:spacing w:line="360" w:lineRule="auto"/>
        <w:ind w:firstLine="420" w:firstLineChars="200"/>
        <w:jc w:val="left"/>
        <w:rPr>
          <w:rFonts w:eastAsia="宋体"/>
          <w:color w:val="auto"/>
          <w:highlight w:val="none"/>
        </w:rPr>
      </w:pPr>
      <w:r>
        <w:rPr>
          <w:rFonts w:hint="eastAsia" w:ascii="宋体" w:hAnsi="宋体" w:eastAsia="宋体" w:cs="宋体"/>
          <w:color w:val="auto"/>
          <w:szCs w:val="21"/>
          <w:highlight w:val="none"/>
          <w:shd w:val="clear" w:color="auto" w:fill="FFFFFF"/>
        </w:rPr>
        <w:t>4、</w:t>
      </w:r>
      <w:r>
        <w:rPr>
          <w:rFonts w:hint="eastAsia" w:ascii="宋体" w:hAnsi="宋体" w:eastAsia="宋体" w:cs="宋体"/>
          <w:bCs/>
          <w:color w:val="auto"/>
          <w:szCs w:val="21"/>
          <w:highlight w:val="none"/>
          <w:shd w:val="clear" w:color="auto" w:fill="FFFFFF"/>
          <w:lang w:val="en-US" w:eastAsia="zh-CN"/>
        </w:rPr>
        <w:t>工期</w:t>
      </w:r>
      <w:r>
        <w:rPr>
          <w:rFonts w:hint="eastAsia" w:ascii="宋体" w:hAnsi="宋体" w:eastAsia="宋体" w:cs="宋体"/>
          <w:bCs/>
          <w:color w:val="auto"/>
          <w:szCs w:val="21"/>
          <w:highlight w:val="none"/>
          <w:shd w:val="clear" w:color="auto" w:fill="FFFFFF"/>
        </w:rPr>
        <w:t>：自开始施工当日起，15天完成所有施工</w:t>
      </w:r>
      <w:r>
        <w:rPr>
          <w:rFonts w:hint="eastAsia" w:ascii="宋体" w:hAnsi="宋体" w:eastAsia="宋体" w:cs="宋体"/>
          <w:color w:val="auto"/>
          <w:szCs w:val="21"/>
          <w:highlight w:val="none"/>
          <w:shd w:val="clear" w:color="auto" w:fill="FFFFFF"/>
          <w:lang w:val="en-US" w:eastAsia="zh-CN"/>
        </w:rPr>
        <w:t>；</w:t>
      </w:r>
    </w:p>
    <w:p>
      <w:pPr>
        <w:widowControl/>
        <w:tabs>
          <w:tab w:val="left" w:pos="840"/>
        </w:tabs>
        <w:snapToGrid w:val="0"/>
        <w:spacing w:line="360" w:lineRule="auto"/>
        <w:ind w:firstLine="420" w:firstLineChars="200"/>
        <w:jc w:val="left"/>
        <w:rPr>
          <w:rFonts w:ascii="宋体" w:hAnsi="宋体" w:eastAsia="宋体" w:cs="宋体"/>
          <w:color w:val="auto"/>
          <w:szCs w:val="21"/>
          <w:highlight w:val="none"/>
          <w:shd w:val="clear" w:color="auto" w:fill="FFFFFF"/>
        </w:rPr>
      </w:pPr>
      <w:r>
        <w:rPr>
          <w:rFonts w:hint="eastAsia" w:ascii="宋体" w:hAnsi="宋体" w:cs="宋体"/>
          <w:bCs/>
          <w:color w:val="auto"/>
          <w:szCs w:val="21"/>
          <w:highlight w:val="none"/>
          <w:shd w:val="clear" w:color="auto" w:fill="FFFFFF"/>
          <w:lang w:val="en-US" w:eastAsia="zh-CN"/>
        </w:rPr>
        <w:t>5</w:t>
      </w:r>
      <w:r>
        <w:rPr>
          <w:rFonts w:hint="eastAsia" w:ascii="宋体" w:hAnsi="宋体" w:eastAsia="宋体" w:cs="宋体"/>
          <w:bCs/>
          <w:color w:val="auto"/>
          <w:szCs w:val="21"/>
          <w:highlight w:val="none"/>
          <w:shd w:val="clear" w:color="auto" w:fill="FFFFFF"/>
        </w:rPr>
        <w:t>、</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合格。</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bookmarkStart w:id="4" w:name="_Toc23626"/>
      <w:bookmarkStart w:id="5" w:name="_Toc27704"/>
      <w:bookmarkStart w:id="6" w:name="_Toc16639"/>
      <w:bookmarkStart w:id="7" w:name="_Toc18607"/>
      <w:r>
        <w:rPr>
          <w:rFonts w:hint="eastAsia" w:ascii="宋体" w:hAnsi="宋体" w:eastAsia="宋体" w:cs="宋体"/>
          <w:b/>
          <w:bCs/>
          <w:color w:val="auto"/>
          <w:kern w:val="2"/>
          <w:sz w:val="21"/>
          <w:szCs w:val="21"/>
          <w:shd w:val="clear" w:color="auto" w:fill="FFFFFF"/>
          <w:lang w:val="en-US" w:eastAsia="zh-CN" w:bidi="ar-SA"/>
        </w:rPr>
        <w:t>二、</w:t>
      </w:r>
      <w:bookmarkEnd w:id="3"/>
      <w:bookmarkEnd w:id="4"/>
      <w:bookmarkEnd w:id="5"/>
      <w:bookmarkEnd w:id="6"/>
      <w:bookmarkEnd w:id="7"/>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val="0"/>
        <w:autoSpaceDE w:val="0"/>
        <w:autoSpaceDN w:val="0"/>
        <w:adjustRightInd w:val="0"/>
        <w:snapToGrid w:val="0"/>
        <w:spacing w:line="360" w:lineRule="auto"/>
        <w:ind w:firstLine="420" w:firstLineChars="200"/>
        <w:rPr>
          <w:rFonts w:hint="eastAsia"/>
          <w:lang w:val="en-US" w:eastAsia="zh-CN"/>
        </w:rPr>
      </w:pPr>
      <w:r>
        <w:rPr>
          <w:rFonts w:hint="eastAsia" w:ascii="宋体" w:hAnsi="宋体" w:eastAsia="宋体" w:cs="宋体"/>
          <w:color w:val="auto"/>
          <w:kern w:val="2"/>
          <w:sz w:val="21"/>
          <w:szCs w:val="24"/>
          <w:lang w:val="en-US" w:eastAsia="zh-CN" w:bidi="ar-SA"/>
        </w:rPr>
        <w:t>2、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3、</w:t>
      </w:r>
      <w:r>
        <w:rPr>
          <w:rFonts w:hint="eastAsia" w:ascii="宋体" w:hAnsi="宋体" w:cs="宋体"/>
          <w:color w:val="auto"/>
          <w:kern w:val="2"/>
          <w:sz w:val="21"/>
          <w:szCs w:val="24"/>
          <w:lang w:val="en-US" w:eastAsia="zh-CN" w:bidi="ar-SA"/>
        </w:rPr>
        <w:t>供应商</w:t>
      </w:r>
      <w:r>
        <w:rPr>
          <w:rFonts w:hint="eastAsia" w:ascii="宋体" w:hAnsi="宋体" w:eastAsia="宋体" w:cs="宋体"/>
          <w:color w:val="auto"/>
          <w:kern w:val="2"/>
          <w:sz w:val="21"/>
          <w:szCs w:val="24"/>
          <w:lang w:val="en-US" w:eastAsia="zh-CN" w:bidi="ar-SA"/>
        </w:rPr>
        <w:t>应在“社会消防技术服务信息系统”网站（https://www.shhxf119.com）公示并具备消防设施工程专业承包二级及以上企业资质，应具备安全生产许可证；</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lang w:val="en-US" w:eastAsia="zh-CN"/>
        </w:rPr>
        <w:t>4、</w:t>
      </w:r>
      <w:r>
        <w:rPr>
          <w:rFonts w:hint="eastAsia" w:ascii="宋体" w:hAnsi="宋体" w:eastAsia="宋体" w:cs="宋体"/>
          <w:color w:val="auto"/>
          <w:lang w:val="en-US" w:eastAsia="zh-CN"/>
        </w:rPr>
        <w:t>供应商应具有国家固定灭火系统和耐火构件质量监督检验中心出具的检验报告和国家消防产品认证证书</w:t>
      </w:r>
      <w:r>
        <w:rPr>
          <w:rFonts w:hint="eastAsia" w:ascii="宋体" w:hAnsi="宋体" w:cs="宋体"/>
          <w:color w:val="auto"/>
          <w:lang w:val="en-US" w:eastAsia="zh-CN"/>
        </w:rPr>
        <w:t>；</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5、</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6、</w:t>
      </w:r>
      <w:r>
        <w:rPr>
          <w:rFonts w:hint="eastAsia" w:ascii="宋体" w:hAnsi="宋体" w:eastAsia="宋体" w:cs="宋体"/>
          <w:color w:val="auto"/>
          <w:kern w:val="2"/>
          <w:sz w:val="21"/>
          <w:szCs w:val="24"/>
          <w:lang w:val="en-US" w:eastAsia="zh-CN" w:bidi="ar-SA"/>
        </w:rPr>
        <w:t>参加本采购活动前三年内，在经营活动中没有重大违法记录（提供书面声明函）；</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lang w:val="en-US" w:eastAsia="zh-CN"/>
        </w:rPr>
      </w:pPr>
      <w:r>
        <w:rPr>
          <w:rFonts w:hint="eastAsia" w:ascii="宋体" w:hAnsi="宋体" w:cs="宋体"/>
          <w:color w:val="auto"/>
          <w:lang w:val="en-US" w:eastAsia="zh-CN"/>
        </w:rPr>
        <w:t>7</w:t>
      </w:r>
      <w:r>
        <w:rPr>
          <w:rFonts w:hint="eastAsia" w:ascii="宋体" w:hAnsi="宋体" w:eastAsia="宋体" w:cs="宋体"/>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widowControl w:val="0"/>
        <w:autoSpaceDE w:val="0"/>
        <w:autoSpaceDN w:val="0"/>
        <w:adjustRightInd w:val="0"/>
        <w:snapToGrid w:val="0"/>
        <w:spacing w:line="360" w:lineRule="auto"/>
        <w:ind w:firstLine="420" w:firstLineChars="200"/>
        <w:rPr>
          <w:rFonts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8</w:t>
      </w:r>
      <w:r>
        <w:rPr>
          <w:rFonts w:hint="eastAsia" w:ascii="宋体" w:hAnsi="宋体" w:eastAsia="宋体" w:cs="宋体"/>
          <w:color w:val="auto"/>
          <w:kern w:val="2"/>
          <w:sz w:val="21"/>
          <w:szCs w:val="24"/>
          <w:lang w:val="en-US" w:eastAsia="zh-CN" w:bidi="ar-SA"/>
        </w:rPr>
        <w:t>、不接受联合体投标。</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bookmarkStart w:id="8" w:name="_Toc30971"/>
      <w:bookmarkStart w:id="9" w:name="_Toc23395"/>
      <w:bookmarkStart w:id="10" w:name="_Toc30643"/>
      <w:bookmarkStart w:id="11" w:name="_Toc9562"/>
      <w:bookmarkStart w:id="12" w:name="_Toc7823"/>
      <w:r>
        <w:rPr>
          <w:rFonts w:hint="eastAsia" w:ascii="宋体" w:hAnsi="宋体" w:eastAsia="宋体" w:cs="宋体"/>
          <w:b/>
          <w:bCs/>
          <w:color w:val="auto"/>
          <w:kern w:val="2"/>
          <w:sz w:val="21"/>
          <w:szCs w:val="24"/>
          <w:lang w:val="en-US" w:eastAsia="zh-CN" w:bidi="ar-SA"/>
        </w:rPr>
        <w:t>三、获取采购文件</w:t>
      </w:r>
      <w:bookmarkEnd w:id="8"/>
      <w:bookmarkEnd w:id="9"/>
      <w:bookmarkEnd w:id="10"/>
      <w:bookmarkEnd w:id="11"/>
      <w:bookmarkEnd w:id="12"/>
    </w:p>
    <w:p>
      <w:pPr>
        <w:keepNext w:val="0"/>
        <w:keepLines w:val="0"/>
        <w:pageBreakBefore w:val="0"/>
        <w:widowControl/>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cs="宋体"/>
          <w:color w:val="auto"/>
          <w:szCs w:val="21"/>
          <w:highlight w:val="yellow"/>
          <w:shd w:val="clear" w:color="auto" w:fill="FFFFFF"/>
          <w:lang w:val="en-US" w:eastAsia="zh-CN"/>
        </w:rPr>
        <w:t>11</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7</w:t>
      </w:r>
      <w:r>
        <w:rPr>
          <w:rFonts w:hint="eastAsia" w:ascii="宋体" w:hAnsi="宋体" w:eastAsia="宋体" w:cs="宋体"/>
          <w:color w:val="auto"/>
          <w:szCs w:val="21"/>
          <w:highlight w:val="yellow"/>
          <w:shd w:val="clear" w:color="auto" w:fill="FFFFFF"/>
        </w:rPr>
        <w:t>日-202</w:t>
      </w:r>
      <w:r>
        <w:rPr>
          <w:rFonts w:hint="eastAsia" w:ascii="宋体" w:hAnsi="宋体" w:eastAsia="宋体" w:cs="宋体"/>
          <w:color w:val="auto"/>
          <w:szCs w:val="21"/>
          <w:highlight w:val="yellow"/>
          <w:shd w:val="clear" w:color="auto" w:fill="FFFFFF"/>
          <w:lang w:val="en-US" w:eastAsia="zh-CN"/>
        </w:rPr>
        <w:t>2</w:t>
      </w:r>
      <w:r>
        <w:rPr>
          <w:rFonts w:hint="eastAsia" w:ascii="宋体" w:hAnsi="宋体" w:eastAsia="宋体" w:cs="宋体"/>
          <w:color w:val="auto"/>
          <w:szCs w:val="21"/>
          <w:highlight w:val="yellow"/>
          <w:shd w:val="clear" w:color="auto" w:fill="FFFFFF"/>
        </w:rPr>
        <w:t>年</w:t>
      </w:r>
      <w:r>
        <w:rPr>
          <w:rFonts w:hint="eastAsia" w:ascii="宋体" w:hAnsi="宋体" w:cs="宋体"/>
          <w:color w:val="auto"/>
          <w:szCs w:val="21"/>
          <w:highlight w:val="yellow"/>
          <w:shd w:val="clear" w:color="auto" w:fill="FFFFFF"/>
          <w:lang w:val="en-US" w:eastAsia="zh-CN"/>
        </w:rPr>
        <w:t>11</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9</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w:t>
      </w:r>
      <w:r>
        <w:rPr>
          <w:rFonts w:hint="eastAsia" w:ascii="宋体" w:hAnsi="宋体" w:cs="宋体"/>
          <w:color w:val="auto"/>
          <w:szCs w:val="21"/>
          <w:shd w:val="clear" w:color="auto" w:fill="FFFFFF"/>
          <w:lang w:val="en-US" w:eastAsia="zh-CN"/>
        </w:rPr>
        <w:t>2</w:t>
      </w:r>
      <w:r>
        <w:rPr>
          <w:rFonts w:hint="eastAsia" w:ascii="宋体" w:hAnsi="宋体" w:eastAsia="宋体" w:cs="宋体"/>
          <w:color w:val="auto"/>
          <w:szCs w:val="21"/>
          <w:shd w:val="clear" w:color="auto" w:fill="FFFFFF"/>
          <w:lang w:val="en-US" w:eastAsia="zh-CN"/>
        </w:rPr>
        <w:t>00元。</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2.每报名任何一个</w:t>
      </w:r>
      <w:r>
        <w:rPr>
          <w:rFonts w:hint="eastAsia" w:ascii="宋体" w:hAnsi="宋体" w:cs="宋体"/>
          <w:color w:val="auto"/>
          <w:kern w:val="0"/>
          <w:sz w:val="21"/>
          <w:szCs w:val="21"/>
          <w:shd w:val="clear" w:color="auto" w:fill="FFFFFF"/>
          <w:lang w:val="en-US" w:eastAsia="zh-CN" w:bidi="ar-SA"/>
        </w:rPr>
        <w:t>项目</w:t>
      </w:r>
      <w:r>
        <w:rPr>
          <w:rFonts w:hint="eastAsia" w:ascii="宋体" w:hAnsi="宋体" w:eastAsia="宋体" w:cs="宋体"/>
          <w:color w:val="auto"/>
          <w:kern w:val="0"/>
          <w:sz w:val="21"/>
          <w:szCs w:val="21"/>
          <w:shd w:val="clear" w:color="auto" w:fill="FFFFFF"/>
          <w:lang w:val="en-US" w:eastAsia="zh-CN" w:bidi="ar-SA"/>
        </w:rPr>
        <w:t>的供应商，</w:t>
      </w:r>
      <w:r>
        <w:rPr>
          <w:rFonts w:hint="eastAsia" w:ascii="宋体" w:hAnsi="宋体" w:cs="宋体"/>
          <w:color w:val="auto"/>
          <w:kern w:val="0"/>
          <w:sz w:val="21"/>
          <w:szCs w:val="21"/>
          <w:shd w:val="clear" w:color="auto" w:fill="FFFFFF"/>
          <w:lang w:val="en-US" w:eastAsia="zh-CN" w:bidi="ar-SA"/>
        </w:rPr>
        <w:t>均</w:t>
      </w:r>
      <w:r>
        <w:rPr>
          <w:rFonts w:hint="eastAsia" w:ascii="宋体" w:hAnsi="宋体" w:eastAsia="宋体" w:cs="宋体"/>
          <w:color w:val="auto"/>
          <w:kern w:val="0"/>
          <w:sz w:val="21"/>
          <w:szCs w:val="21"/>
          <w:highlight w:val="none"/>
          <w:shd w:val="clear" w:color="auto" w:fill="FFFFFF"/>
          <w:lang w:val="en-US" w:eastAsia="zh-CN" w:bidi="ar-SA"/>
        </w:rPr>
        <w:t>需交纳2000元投标保证金</w:t>
      </w:r>
      <w:r>
        <w:rPr>
          <w:rFonts w:hint="eastAsia" w:ascii="宋体" w:hAnsi="宋体" w:eastAsia="宋体" w:cs="宋体"/>
          <w:color w:val="auto"/>
          <w:kern w:val="0"/>
          <w:sz w:val="21"/>
          <w:szCs w:val="21"/>
          <w:shd w:val="clear" w:color="auto" w:fill="FFFFFF"/>
          <w:lang w:val="en-US" w:eastAsia="zh-CN" w:bidi="ar-SA"/>
        </w:rPr>
        <w:t xml:space="preserve">。凡报名成功的供应商无故不来参与投标的，拒不退还投标保证金，并列入我院黑名单，一年内不得参与我院任何采购活动。凡未中标者，评审结束后三个工作日内凭收据无息退还。中标供应商缴纳相应服务费。 </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0" w:leftChars="0" w:firstLine="420" w:firstLineChars="200"/>
        <w:jc w:val="left"/>
        <w:textAlignment w:val="auto"/>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highlight w:val="none"/>
          <w:shd w:val="clear" w:color="auto" w:fill="FFFFFF"/>
          <w:lang w:val="en-US" w:eastAsia="zh-CN" w:bidi="ar-SA"/>
        </w:rPr>
        <w:t>2393834249</w:t>
      </w:r>
      <w:r>
        <w:rPr>
          <w:rFonts w:hint="eastAsia" w:ascii="宋体" w:hAnsi="宋体" w:eastAsia="宋体" w:cs="宋体"/>
          <w:color w:val="auto"/>
          <w:kern w:val="0"/>
          <w:sz w:val="21"/>
          <w:szCs w:val="21"/>
          <w:highlight w:val="none"/>
          <w:shd w:val="clear" w:color="auto" w:fill="FFFFFF"/>
          <w:lang w:val="en-US" w:eastAsia="zh-CN" w:bidi="ar-SA"/>
        </w:rPr>
        <w:t>@qq.com</w:t>
      </w:r>
      <w:r>
        <w:rPr>
          <w:rFonts w:hint="eastAsia" w:ascii="宋体" w:hAnsi="宋体" w:eastAsia="宋体" w:cs="宋体"/>
          <w:color w:val="auto"/>
          <w:kern w:val="0"/>
          <w:sz w:val="21"/>
          <w:szCs w:val="21"/>
          <w:shd w:val="clear" w:color="auto" w:fill="FFFFFF"/>
          <w:lang w:val="en-US" w:eastAsia="zh-CN" w:bidi="ar-SA"/>
        </w:rPr>
        <w:t>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及投标保证金。</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420" w:left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13" w:name="_Toc15135"/>
      <w:bookmarkStart w:id="14" w:name="_Toc15111"/>
      <w:bookmarkStart w:id="15" w:name="_Toc10738"/>
      <w:bookmarkStart w:id="16" w:name="_Toc27480"/>
      <w:bookmarkStart w:id="17" w:name="_Toc25869"/>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3"/>
      <w:bookmarkEnd w:id="14"/>
      <w:bookmarkEnd w:id="15"/>
      <w:bookmarkEnd w:id="16"/>
      <w:bookmarkEnd w:id="17"/>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u w:val="none"/>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18" w:name="_Toc20287"/>
      <w:bookmarkStart w:id="19" w:name="_Toc30918"/>
      <w:bookmarkStart w:id="20" w:name="_Toc29784"/>
      <w:bookmarkStart w:id="21" w:name="_Toc6523"/>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626"/>
      <w:bookmarkStart w:id="23" w:name="_Toc35393795"/>
    </w:p>
    <w:bookmarkEnd w:id="22"/>
    <w:bookmarkEnd w:id="23"/>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highlight w:val="none"/>
          <w:lang w:val="en-US" w:eastAsia="zh-CN" w:bidi="ar-SA"/>
        </w:rPr>
      </w:pPr>
      <w:bookmarkStart w:id="24" w:name="_Toc24274"/>
      <w:bookmarkStart w:id="25" w:name="_Toc31928"/>
      <w:bookmarkStart w:id="26" w:name="_Toc27370"/>
      <w:bookmarkStart w:id="27" w:name="_Toc3604"/>
      <w:bookmarkStart w:id="28" w:name="_Toc16291"/>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报名联系人1：李女士</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联系电话：18236479755</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报名联系人2：杨先生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联系电话：19139503257</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33"/>
        <w:keepNext w:val="0"/>
        <w:keepLines w:val="0"/>
        <w:pageBreakBefore w:val="0"/>
        <w:kinsoku/>
        <w:overflowPunct/>
        <w:topLinePunct w:val="0"/>
        <w:bidi w:val="0"/>
        <w:adjustRightInd w:val="0"/>
        <w:snapToGrid w:val="0"/>
        <w:spacing w:line="360" w:lineRule="auto"/>
        <w:textAlignment w:val="auto"/>
        <w:rPr>
          <w:rFonts w:hint="eastAsia"/>
          <w:lang w:val="en-US" w:eastAsia="zh-CN"/>
        </w:rPr>
      </w:pP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right"/>
        <w:textAlignment w:val="auto"/>
        <w:rPr>
          <w:rFonts w:hint="eastAsia" w:ascii="宋体" w:hAnsi="宋体" w:eastAsia="宋体" w:cs="宋体"/>
          <w:kern w:val="0"/>
          <w:sz w:val="21"/>
          <w:szCs w:val="21"/>
          <w:shd w:val="clear" w:color="auto" w:fill="FFFFFF"/>
          <w:lang w:val="en-US" w:eastAsia="zh-CN" w:bidi="ar-SA"/>
        </w:rPr>
      </w:pPr>
      <w:r>
        <w:rPr>
          <w:rFonts w:hint="eastAsia" w:ascii="宋体" w:hAnsi="宋体" w:eastAsia="宋体" w:cs="宋体"/>
          <w:kern w:val="0"/>
          <w:sz w:val="21"/>
          <w:szCs w:val="21"/>
          <w:shd w:val="clear" w:color="auto" w:fill="FFFFFF"/>
          <w:lang w:val="en-US" w:eastAsia="zh-CN" w:bidi="ar-SA"/>
        </w:rPr>
        <w:t>驻马店市中心医院采购科</w:t>
      </w:r>
    </w:p>
    <w:p>
      <w:pPr>
        <w:pStyle w:val="31"/>
        <w:widowControl/>
        <w:snapToGrid w:val="0"/>
        <w:spacing w:before="0" w:beforeAutospacing="0" w:after="0" w:afterAutospacing="0" w:line="360" w:lineRule="auto"/>
        <w:ind w:firstLine="420" w:firstLineChars="200"/>
        <w:jc w:val="right"/>
        <w:rPr>
          <w:rFonts w:ascii="宋体" w:hAnsi="宋体" w:cs="宋体"/>
          <w:color w:val="auto"/>
          <w:sz w:val="21"/>
          <w:szCs w:val="21"/>
          <w:highlight w:val="none"/>
          <w:shd w:val="clear" w:color="auto" w:fill="FFFFFF"/>
        </w:rPr>
      </w:pPr>
      <w:r>
        <w:rPr>
          <w:rFonts w:hint="eastAsia" w:ascii="宋体" w:hAnsi="宋体" w:eastAsia="宋体" w:cs="宋体"/>
          <w:kern w:val="0"/>
          <w:sz w:val="21"/>
          <w:szCs w:val="21"/>
          <w:shd w:val="clear" w:color="auto" w:fill="FFFFFF"/>
          <w:lang w:val="en-US" w:eastAsia="zh-CN" w:bidi="ar-SA"/>
        </w:rPr>
        <w:t>2022年</w:t>
      </w:r>
      <w:r>
        <w:rPr>
          <w:rFonts w:hint="eastAsia" w:ascii="宋体" w:hAnsi="宋体" w:cs="宋体"/>
          <w:kern w:val="0"/>
          <w:sz w:val="21"/>
          <w:szCs w:val="21"/>
          <w:shd w:val="clear" w:color="auto" w:fill="FFFFFF"/>
          <w:lang w:val="en-US" w:eastAsia="zh-CN" w:bidi="ar-SA"/>
        </w:rPr>
        <w:t>11</w:t>
      </w:r>
      <w:r>
        <w:rPr>
          <w:rFonts w:hint="eastAsia" w:ascii="宋体" w:hAnsi="宋体" w:eastAsia="宋体" w:cs="宋体"/>
          <w:kern w:val="0"/>
          <w:sz w:val="21"/>
          <w:szCs w:val="21"/>
          <w:shd w:val="clear" w:color="auto" w:fill="FFFFFF"/>
          <w:lang w:val="en-US" w:eastAsia="zh-CN" w:bidi="ar-SA"/>
        </w:rPr>
        <w:t>月</w:t>
      </w:r>
      <w:r>
        <w:rPr>
          <w:rFonts w:hint="eastAsia" w:ascii="宋体" w:hAnsi="宋体" w:cs="宋体"/>
          <w:kern w:val="0"/>
          <w:sz w:val="21"/>
          <w:szCs w:val="21"/>
          <w:highlight w:val="yellow"/>
          <w:shd w:val="clear" w:color="auto" w:fill="FFFFFF"/>
          <w:lang w:val="en-US" w:eastAsia="zh-CN" w:bidi="ar-SA"/>
        </w:rPr>
        <w:t>4</w:t>
      </w:r>
      <w:r>
        <w:rPr>
          <w:rFonts w:hint="eastAsia" w:ascii="宋体" w:hAnsi="宋体" w:eastAsia="宋体" w:cs="宋体"/>
          <w:kern w:val="0"/>
          <w:sz w:val="21"/>
          <w:szCs w:val="21"/>
          <w:highlight w:val="yellow"/>
          <w:shd w:val="clear" w:color="auto" w:fill="FFFFFF"/>
          <w:lang w:val="en-US" w:eastAsia="zh-CN" w:bidi="ar-SA"/>
        </w:rPr>
        <w:t>日</w:t>
      </w:r>
    </w:p>
    <w:p>
      <w:pPr>
        <w:widowControl/>
        <w:spacing w:line="360" w:lineRule="auto"/>
        <w:ind w:firstLine="480" w:firstLineChars="200"/>
        <w:jc w:val="left"/>
        <w:rPr>
          <w:rFonts w:ascii="宋体" w:hAnsi="宋体" w:cs="宋体"/>
          <w:b/>
          <w:color w:val="auto"/>
          <w:sz w:val="24"/>
          <w:highlight w:val="none"/>
        </w:rPr>
      </w:pPr>
      <w:r>
        <w:rPr>
          <w:rFonts w:hint="eastAsia" w:ascii="宋体" w:hAnsi="宋体" w:cs="宋体"/>
          <w:color w:val="auto"/>
          <w:kern w:val="0"/>
          <w:sz w:val="24"/>
          <w:highlight w:val="none"/>
        </w:rPr>
        <w:t>  </w:t>
      </w:r>
    </w:p>
    <w:p>
      <w:pPr>
        <w:rPr>
          <w:b/>
          <w:bCs/>
          <w:color w:val="auto"/>
          <w:sz w:val="24"/>
          <w:highlight w:val="none"/>
        </w:rPr>
      </w:pPr>
      <w:r>
        <w:rPr>
          <w:rFonts w:hint="eastAsia"/>
          <w:b/>
          <w:bCs/>
          <w:color w:val="auto"/>
          <w:sz w:val="24"/>
          <w:highlight w:val="none"/>
        </w:rPr>
        <w:br w:type="page"/>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bookmarkStart w:id="29" w:name="_Toc25063"/>
      <w:bookmarkStart w:id="30" w:name="_Toc29890"/>
      <w:bookmarkStart w:id="31" w:name="_Toc23793"/>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29"/>
      <w:bookmarkStart w:id="32" w:name="_Toc9989"/>
      <w:bookmarkStart w:id="33" w:name="_Toc23610"/>
      <w:bookmarkStart w:id="34" w:name="_Toc31536"/>
    </w:p>
    <w:bookmarkEnd w:id="32"/>
    <w:bookmarkEnd w:id="33"/>
    <w:bookmarkEnd w:id="34"/>
    <w:p>
      <w:pPr>
        <w:keepNext w:val="0"/>
        <w:keepLines w:val="0"/>
        <w:pageBreakBefore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宋体" w:hAnsi="宋体" w:cs="宋体"/>
          <w:sz w:val="21"/>
          <w:szCs w:val="21"/>
        </w:rPr>
      </w:pPr>
      <w:r>
        <w:rPr>
          <w:rFonts w:hint="eastAsia"/>
          <w:b/>
          <w:bCs/>
          <w:sz w:val="21"/>
          <w:szCs w:val="21"/>
          <w:lang w:val="en-US" w:eastAsia="zh-CN"/>
        </w:rPr>
        <w:t>一、</w:t>
      </w:r>
      <w:r>
        <w:rPr>
          <w:rFonts w:hint="eastAsia"/>
          <w:b/>
          <w:bCs/>
          <w:sz w:val="21"/>
          <w:szCs w:val="21"/>
        </w:rPr>
        <w:t>项目内容：</w:t>
      </w:r>
    </w:p>
    <w:p>
      <w:pPr>
        <w:keepNext w:val="0"/>
        <w:keepLines w:val="0"/>
        <w:pageBreakBefore w:val="0"/>
        <w:widowControl/>
        <w:shd w:val="clear" w:color="auto" w:fill="FFFFFF"/>
        <w:kinsoku/>
        <w:wordWrap/>
        <w:overflowPunct/>
        <w:topLinePunct w:val="0"/>
        <w:bidi w:val="0"/>
        <w:snapToGrid/>
        <w:spacing w:line="360" w:lineRule="auto"/>
        <w:ind w:firstLine="420" w:firstLineChars="200"/>
        <w:jc w:val="left"/>
        <w:textAlignment w:val="auto"/>
        <w:rPr>
          <w:rFonts w:hint="eastAsia" w:ascii="宋体" w:hAnsi="宋体" w:cs="宋体"/>
          <w:b w:val="0"/>
          <w:bCs w:val="0"/>
          <w:color w:val="000000"/>
          <w:kern w:val="0"/>
          <w:sz w:val="21"/>
          <w:szCs w:val="21"/>
          <w:highlight w:val="none"/>
          <w:lang w:val="en-US" w:eastAsia="zh-CN"/>
        </w:rPr>
      </w:pPr>
      <w:r>
        <w:rPr>
          <w:rFonts w:hint="eastAsia" w:ascii="宋体" w:hAnsi="宋体" w:cs="宋体"/>
          <w:b w:val="0"/>
          <w:bCs w:val="0"/>
          <w:color w:val="000000"/>
          <w:kern w:val="0"/>
          <w:sz w:val="21"/>
          <w:szCs w:val="21"/>
          <w:highlight w:val="none"/>
          <w:lang w:val="en-US" w:eastAsia="zh-CN"/>
        </w:rPr>
        <w:t>1、</w:t>
      </w:r>
      <w:r>
        <w:rPr>
          <w:rFonts w:ascii="宋体" w:hAnsi="宋体" w:cs="宋体"/>
          <w:b w:val="0"/>
          <w:bCs w:val="0"/>
          <w:color w:val="000000"/>
          <w:kern w:val="0"/>
          <w:sz w:val="21"/>
          <w:szCs w:val="21"/>
          <w:highlight w:val="none"/>
        </w:rPr>
        <w:t>项目名称：</w:t>
      </w:r>
      <w:r>
        <w:rPr>
          <w:rFonts w:hint="eastAsia" w:ascii="宋体" w:hAnsi="宋体" w:cs="宋体"/>
          <w:color w:val="auto"/>
          <w:highlight w:val="none"/>
          <w:lang w:eastAsia="zh-CN"/>
        </w:rPr>
        <w:t>门诊楼配电室七氟丙烷灭火系统安装工程</w:t>
      </w:r>
      <w:r>
        <w:rPr>
          <w:rFonts w:hint="eastAsia" w:ascii="宋体" w:hAnsi="宋体" w:cs="宋体"/>
          <w:b w:val="0"/>
          <w:bCs w:val="0"/>
          <w:color w:val="000000"/>
          <w:kern w:val="0"/>
          <w:sz w:val="21"/>
          <w:szCs w:val="21"/>
          <w:highlight w:val="none"/>
          <w:lang w:val="en-US" w:eastAsia="zh-CN"/>
        </w:rPr>
        <w:t>；</w:t>
      </w:r>
    </w:p>
    <w:p>
      <w:pPr>
        <w:pStyle w:val="4"/>
        <w:keepNext w:val="0"/>
        <w:keepLines w:val="0"/>
        <w:pageBreakBefore w:val="0"/>
        <w:kinsoku/>
        <w:wordWrap/>
        <w:overflowPunct/>
        <w:topLinePunct w:val="0"/>
        <w:bidi w:val="0"/>
        <w:snapToGrid/>
        <w:spacing w:line="360" w:lineRule="auto"/>
        <w:ind w:firstLine="420" w:firstLineChars="200"/>
        <w:textAlignment w:val="auto"/>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highlight w:val="none"/>
          <w:lang w:val="en-US" w:eastAsia="zh-CN" w:bidi="ar-SA"/>
        </w:rPr>
        <w:t>2、采购内容：本工</w:t>
      </w:r>
      <w:r>
        <w:rPr>
          <w:rFonts w:hint="eastAsia" w:ascii="宋体" w:hAnsi="宋体" w:eastAsia="宋体" w:cs="宋体"/>
          <w:b w:val="0"/>
          <w:bCs w:val="0"/>
          <w:color w:val="000000"/>
          <w:kern w:val="0"/>
          <w:sz w:val="21"/>
          <w:szCs w:val="21"/>
          <w:lang w:val="en-US" w:eastAsia="zh-CN" w:bidi="ar-SA"/>
        </w:rPr>
        <w:t>程采购文件包含的全部内容</w:t>
      </w:r>
      <w:r>
        <w:rPr>
          <w:rFonts w:hint="eastAsia" w:hAnsi="宋体" w:cs="宋体"/>
          <w:b w:val="0"/>
          <w:bCs w:val="0"/>
          <w:color w:val="000000"/>
          <w:kern w:val="0"/>
          <w:sz w:val="21"/>
          <w:szCs w:val="21"/>
          <w:lang w:val="en-US" w:eastAsia="zh-CN" w:bidi="ar-SA"/>
        </w:rPr>
        <w:t>；</w:t>
      </w:r>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firstLine="420" w:firstLineChars="20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项目用途说明：医院门诊楼负一层高低压配电室属于消防重点部位，未配备自动灭火系统。根据《建筑设计防火规范》的要求，门诊应设置自动灭火系统，并宜采用七氟丙烷气体灭火系统，确保配电室发生火灾时能及时有效灭火，不损坏其他设备。</w:t>
      </w:r>
    </w:p>
    <w:tbl>
      <w:tblPr>
        <w:tblStyle w:val="34"/>
        <w:tblW w:w="8925" w:type="dxa"/>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2354"/>
        <w:gridCol w:w="2550"/>
        <w:gridCol w:w="1455"/>
        <w:gridCol w:w="1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01" w:type="dxa"/>
            <w:tcBorders>
              <w:top w:val="single" w:color="auto" w:sz="4" w:space="0"/>
              <w:left w:val="single" w:color="auto" w:sz="4" w:space="0"/>
              <w:bottom w:val="single" w:color="auto" w:sz="4" w:space="0"/>
              <w:right w:val="single" w:color="auto" w:sz="4" w:space="0"/>
            </w:tcBorders>
            <w:vAlign w:val="center"/>
          </w:tcPr>
          <w:p>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2354" w:type="dxa"/>
            <w:tcBorders>
              <w:top w:val="single" w:color="auto" w:sz="4" w:space="0"/>
              <w:left w:val="nil"/>
              <w:bottom w:val="single" w:color="auto" w:sz="4" w:space="0"/>
              <w:right w:val="single" w:color="auto" w:sz="4" w:space="0"/>
            </w:tcBorders>
            <w:vAlign w:val="center"/>
          </w:tcPr>
          <w:p>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rPr>
              <w:t>项目</w:t>
            </w:r>
            <w:r>
              <w:rPr>
                <w:rFonts w:hint="eastAsia" w:ascii="宋体" w:hAnsi="宋体" w:eastAsia="宋体" w:cs="宋体"/>
                <w:b/>
                <w:bCs/>
                <w:sz w:val="21"/>
                <w:szCs w:val="21"/>
                <w:lang w:val="en-US" w:eastAsia="zh-CN"/>
              </w:rPr>
              <w:t>内容</w:t>
            </w:r>
          </w:p>
        </w:tc>
        <w:tc>
          <w:tcPr>
            <w:tcW w:w="2550" w:type="dxa"/>
            <w:tcBorders>
              <w:top w:val="single" w:color="auto" w:sz="4" w:space="0"/>
              <w:left w:val="nil"/>
              <w:bottom w:val="single" w:color="auto" w:sz="4" w:space="0"/>
              <w:right w:val="single" w:color="auto" w:sz="4" w:space="0"/>
            </w:tcBorders>
            <w:vAlign w:val="center"/>
          </w:tcPr>
          <w:p>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数量或规模</w:t>
            </w:r>
          </w:p>
        </w:tc>
        <w:tc>
          <w:tcPr>
            <w:tcW w:w="1455" w:type="dxa"/>
            <w:tcBorders>
              <w:top w:val="single" w:color="auto" w:sz="4" w:space="0"/>
              <w:left w:val="nil"/>
              <w:bottom w:val="single" w:color="auto" w:sz="4" w:space="0"/>
              <w:right w:val="single" w:color="auto" w:sz="4" w:space="0"/>
            </w:tcBorders>
            <w:vAlign w:val="center"/>
          </w:tcPr>
          <w:p>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资金预算</w:t>
            </w:r>
          </w:p>
        </w:tc>
        <w:tc>
          <w:tcPr>
            <w:tcW w:w="1665" w:type="dxa"/>
            <w:tcBorders>
              <w:top w:val="single" w:color="auto" w:sz="4" w:space="0"/>
              <w:left w:val="nil"/>
              <w:bottom w:val="single" w:color="auto" w:sz="4" w:space="0"/>
              <w:right w:val="single" w:color="auto" w:sz="4" w:space="0"/>
            </w:tcBorders>
            <w:vAlign w:val="center"/>
          </w:tcPr>
          <w:p>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exact"/>
        </w:trPr>
        <w:tc>
          <w:tcPr>
            <w:tcW w:w="901" w:type="dxa"/>
            <w:tcBorders>
              <w:top w:val="single" w:color="auto" w:sz="4" w:space="0"/>
              <w:left w:val="single" w:color="auto" w:sz="4" w:space="0"/>
              <w:bottom w:val="single" w:color="auto" w:sz="4" w:space="0"/>
              <w:right w:val="single" w:color="auto" w:sz="4" w:space="0"/>
            </w:tcBorders>
            <w:vAlign w:val="center"/>
          </w:tcPr>
          <w:p>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2354" w:type="dxa"/>
            <w:tcBorders>
              <w:top w:val="single" w:color="auto" w:sz="4" w:space="0"/>
              <w:left w:val="nil"/>
              <w:bottom w:val="single" w:color="auto" w:sz="4" w:space="0"/>
              <w:right w:val="single" w:color="auto" w:sz="4" w:space="0"/>
            </w:tcBorders>
            <w:vAlign w:val="center"/>
          </w:tcPr>
          <w:p>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sz w:val="21"/>
                <w:szCs w:val="21"/>
              </w:rPr>
            </w:pPr>
            <w:r>
              <w:rPr>
                <w:rFonts w:hint="eastAsia" w:ascii="宋体" w:hAnsi="宋体" w:eastAsia="宋体" w:cs="宋体"/>
                <w:sz w:val="21"/>
                <w:szCs w:val="21"/>
              </w:rPr>
              <w:t>门诊楼配电室七氟丙烷灭火系统</w:t>
            </w:r>
          </w:p>
        </w:tc>
        <w:tc>
          <w:tcPr>
            <w:tcW w:w="2550" w:type="dxa"/>
            <w:tcBorders>
              <w:top w:val="single" w:color="auto" w:sz="4" w:space="0"/>
              <w:left w:val="nil"/>
              <w:bottom w:val="single" w:color="auto" w:sz="4" w:space="0"/>
              <w:right w:val="single" w:color="auto" w:sz="4" w:space="0"/>
            </w:tcBorders>
            <w:vAlign w:val="center"/>
          </w:tcPr>
          <w:p>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65" w:leftChars="31"/>
              <w:jc w:val="center"/>
              <w:textAlignment w:val="auto"/>
              <w:rPr>
                <w:rFonts w:hint="eastAsia" w:ascii="宋体" w:hAnsi="宋体" w:eastAsia="宋体" w:cs="宋体"/>
                <w:sz w:val="21"/>
                <w:szCs w:val="21"/>
              </w:rPr>
            </w:pPr>
            <w:r>
              <w:rPr>
                <w:rFonts w:hint="eastAsia" w:ascii="宋体" w:hAnsi="宋体" w:eastAsia="宋体" w:cs="宋体"/>
                <w:color w:val="000000"/>
                <w:kern w:val="0"/>
                <w:sz w:val="21"/>
                <w:szCs w:val="21"/>
              </w:rPr>
              <w:t>七氟丙烷柜式灭火装置6套，包含主机等配套设施</w:t>
            </w:r>
          </w:p>
        </w:tc>
        <w:tc>
          <w:tcPr>
            <w:tcW w:w="1455" w:type="dxa"/>
            <w:tcBorders>
              <w:top w:val="single" w:color="auto" w:sz="4" w:space="0"/>
              <w:left w:val="nil"/>
              <w:bottom w:val="single" w:color="auto" w:sz="4" w:space="0"/>
              <w:right w:val="single" w:color="auto" w:sz="4" w:space="0"/>
            </w:tcBorders>
            <w:vAlign w:val="center"/>
          </w:tcPr>
          <w:p>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105" w:firstLineChars="50"/>
              <w:jc w:val="center"/>
              <w:textAlignment w:val="auto"/>
              <w:rPr>
                <w:rFonts w:hint="eastAsia" w:ascii="宋体" w:hAnsi="宋体" w:eastAsia="宋体" w:cs="宋体"/>
                <w:sz w:val="21"/>
                <w:szCs w:val="21"/>
              </w:rPr>
            </w:pPr>
            <w:r>
              <w:rPr>
                <w:rFonts w:hint="eastAsia" w:ascii="宋体" w:hAnsi="宋体" w:eastAsia="宋体" w:cs="宋体"/>
                <w:sz w:val="21"/>
                <w:szCs w:val="21"/>
              </w:rPr>
              <w:t>10万元</w:t>
            </w:r>
          </w:p>
        </w:tc>
        <w:tc>
          <w:tcPr>
            <w:tcW w:w="1665" w:type="dxa"/>
            <w:tcBorders>
              <w:top w:val="single" w:color="auto" w:sz="4" w:space="0"/>
              <w:left w:val="nil"/>
              <w:bottom w:val="single" w:color="auto" w:sz="4" w:space="0"/>
              <w:right w:val="single" w:color="auto" w:sz="4" w:space="0"/>
            </w:tcBorders>
            <w:vAlign w:val="center"/>
          </w:tcPr>
          <w:p>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01" w:type="dxa"/>
            <w:tcBorders>
              <w:top w:val="single" w:color="auto" w:sz="4" w:space="0"/>
              <w:left w:val="single" w:color="auto" w:sz="4" w:space="0"/>
              <w:bottom w:val="single" w:color="auto" w:sz="4" w:space="0"/>
              <w:right w:val="single" w:color="auto" w:sz="4" w:space="0"/>
            </w:tcBorders>
            <w:vAlign w:val="center"/>
          </w:tcPr>
          <w:p>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合计</w:t>
            </w:r>
          </w:p>
        </w:tc>
        <w:tc>
          <w:tcPr>
            <w:tcW w:w="2354" w:type="dxa"/>
            <w:tcBorders>
              <w:top w:val="single" w:color="auto" w:sz="4" w:space="0"/>
              <w:left w:val="nil"/>
              <w:bottom w:val="single" w:color="auto" w:sz="4" w:space="0"/>
              <w:right w:val="single" w:color="auto" w:sz="4" w:space="0"/>
            </w:tcBorders>
            <w:vAlign w:val="center"/>
          </w:tcPr>
          <w:p>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ascii="宋体" w:hAnsi="宋体" w:eastAsia="宋体" w:cs="宋体"/>
                <w:sz w:val="21"/>
                <w:szCs w:val="21"/>
              </w:rPr>
            </w:pPr>
          </w:p>
        </w:tc>
        <w:tc>
          <w:tcPr>
            <w:tcW w:w="2550" w:type="dxa"/>
            <w:tcBorders>
              <w:top w:val="single" w:color="auto" w:sz="4" w:space="0"/>
              <w:left w:val="nil"/>
              <w:bottom w:val="single" w:color="auto" w:sz="4" w:space="0"/>
              <w:right w:val="single" w:color="auto" w:sz="4" w:space="0"/>
            </w:tcBorders>
            <w:vAlign w:val="center"/>
          </w:tcPr>
          <w:p>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ascii="宋体" w:hAnsi="宋体" w:eastAsia="宋体" w:cs="宋体"/>
                <w:sz w:val="21"/>
                <w:szCs w:val="21"/>
              </w:rPr>
            </w:pPr>
          </w:p>
        </w:tc>
        <w:tc>
          <w:tcPr>
            <w:tcW w:w="1455" w:type="dxa"/>
            <w:tcBorders>
              <w:top w:val="single" w:color="auto" w:sz="4" w:space="0"/>
              <w:left w:val="nil"/>
              <w:bottom w:val="single" w:color="auto" w:sz="4" w:space="0"/>
              <w:right w:val="single" w:color="auto" w:sz="4" w:space="0"/>
            </w:tcBorders>
            <w:vAlign w:val="center"/>
          </w:tcPr>
          <w:p>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sz w:val="21"/>
                <w:szCs w:val="21"/>
              </w:rPr>
            </w:pPr>
            <w:r>
              <w:rPr>
                <w:rFonts w:hint="eastAsia" w:ascii="宋体" w:hAnsi="宋体" w:eastAsia="宋体" w:cs="宋体"/>
                <w:sz w:val="21"/>
                <w:szCs w:val="21"/>
              </w:rPr>
              <w:t>10</w:t>
            </w:r>
            <w:r>
              <w:rPr>
                <w:rFonts w:hint="eastAsia" w:ascii="宋体" w:hAnsi="宋体" w:eastAsia="宋体" w:cs="宋体"/>
                <w:sz w:val="21"/>
                <w:szCs w:val="21"/>
                <w:lang w:val="en-US" w:eastAsia="zh-CN"/>
              </w:rPr>
              <w:t>万</w:t>
            </w:r>
            <w:r>
              <w:rPr>
                <w:rFonts w:hint="eastAsia" w:ascii="宋体" w:hAnsi="宋体" w:eastAsia="宋体" w:cs="宋体"/>
                <w:sz w:val="21"/>
                <w:szCs w:val="21"/>
              </w:rPr>
              <w:t>元</w:t>
            </w:r>
          </w:p>
        </w:tc>
        <w:tc>
          <w:tcPr>
            <w:tcW w:w="1665" w:type="dxa"/>
            <w:tcBorders>
              <w:top w:val="single" w:color="auto" w:sz="4" w:space="0"/>
              <w:left w:val="nil"/>
              <w:bottom w:val="single" w:color="auto" w:sz="4" w:space="0"/>
              <w:right w:val="single" w:color="auto" w:sz="4" w:space="0"/>
            </w:tcBorders>
            <w:vAlign w:val="center"/>
          </w:tcPr>
          <w:p>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ascii="宋体" w:hAnsi="宋体" w:eastAsia="宋体" w:cs="宋体"/>
                <w:sz w:val="21"/>
                <w:szCs w:val="21"/>
              </w:rPr>
            </w:pPr>
          </w:p>
        </w:tc>
      </w:tr>
    </w:tbl>
    <w:p>
      <w:pPr>
        <w:keepNext w:val="0"/>
        <w:keepLines w:val="0"/>
        <w:pageBreakBefore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Times New Roman" w:hAnsi="Times New Roman" w:eastAsia="宋体" w:cs="Times New Roman"/>
          <w:b/>
          <w:bCs/>
          <w:sz w:val="21"/>
          <w:szCs w:val="21"/>
          <w:lang w:val="en-US" w:eastAsia="zh-CN"/>
        </w:rPr>
      </w:pPr>
    </w:p>
    <w:p>
      <w:pPr>
        <w:keepNext w:val="0"/>
        <w:keepLines w:val="0"/>
        <w:pageBreakBefore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lang w:val="en-US" w:eastAsia="zh-CN"/>
        </w:rPr>
        <w:t>二</w:t>
      </w:r>
      <w:r>
        <w:rPr>
          <w:rFonts w:hint="eastAsia" w:ascii="Times New Roman" w:hAnsi="Times New Roman" w:eastAsia="宋体" w:cs="Times New Roman"/>
          <w:b/>
          <w:bCs/>
          <w:sz w:val="21"/>
          <w:szCs w:val="21"/>
        </w:rPr>
        <w:t>、技术要求：</w:t>
      </w:r>
    </w:p>
    <w:p>
      <w:pPr>
        <w:pStyle w:val="3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textAlignment w:val="auto"/>
        <w:rPr>
          <w:rFonts w:hint="eastAsia"/>
          <w:bCs/>
          <w:sz w:val="21"/>
          <w:szCs w:val="21"/>
        </w:rPr>
      </w:pPr>
      <w:r>
        <w:rPr>
          <w:rFonts w:hint="eastAsia"/>
          <w:bCs/>
          <w:sz w:val="21"/>
          <w:szCs w:val="21"/>
        </w:rPr>
        <w:t>除非合同文件中另有特别注明，本工程适用中华人民共和国现行有效的国家规范、规程和标准。设计图纸和其他设计文件中的有关文字说明是本工程技术规范的组成。对于涉及新技术、新工艺和新材料的工作，相应厂家使用说明或操作说明等的内容，或适用的国外同类标准的内容也是本工程技术规范的组成部分。</w:t>
      </w:r>
    </w:p>
    <w:p>
      <w:pPr>
        <w:pStyle w:val="3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textAlignment w:val="auto"/>
        <w:rPr>
          <w:rFonts w:hint="eastAsia"/>
          <w:bCs/>
          <w:sz w:val="21"/>
          <w:szCs w:val="21"/>
        </w:rPr>
      </w:pPr>
      <w:r>
        <w:rPr>
          <w:rFonts w:hint="eastAsia"/>
          <w:bCs/>
          <w:sz w:val="21"/>
          <w:szCs w:val="21"/>
        </w:rPr>
        <w:t>合同中约定的任何供应商应予遵照执行的国家规范、规程和标准都指他们各自的最新版本。如果在构成本工程规范和技术说明的任何内容与任何现行国家规范、规程和标准包括他们适用的修改之间出现相互矛盾之处或不一致的指示，供应商应按照其中要求最严格的标准执行。材料、施工工艺和本工程都应依照本工程规范和技术说明以及相关国家规范、规程和标准的最新版本；或把最新版本的要求当作对供应商工作的最起码要求，而执行更高的标准。</w:t>
      </w:r>
    </w:p>
    <w:p>
      <w:pPr>
        <w:pStyle w:val="3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textAlignment w:val="auto"/>
        <w:rPr>
          <w:rFonts w:hint="eastAsia"/>
          <w:bCs/>
          <w:sz w:val="21"/>
          <w:szCs w:val="21"/>
        </w:rPr>
      </w:pPr>
      <w:r>
        <w:rPr>
          <w:rFonts w:hint="eastAsia"/>
          <w:bCs/>
          <w:sz w:val="21"/>
          <w:szCs w:val="21"/>
        </w:rPr>
        <w:t>未尽项均执行现行规范及标准,以上规范如有变化，以最新发布的为准。</w:t>
      </w:r>
    </w:p>
    <w:p>
      <w:pPr>
        <w:pStyle w:val="3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textAlignment w:val="auto"/>
        <w:rPr>
          <w:rFonts w:hint="eastAsia"/>
          <w:b/>
          <w:bCs w:val="0"/>
          <w:sz w:val="21"/>
          <w:szCs w:val="21"/>
        </w:rPr>
      </w:pPr>
      <w:r>
        <w:rPr>
          <w:rFonts w:hint="eastAsia"/>
          <w:b/>
          <w:bCs w:val="0"/>
          <w:sz w:val="21"/>
          <w:szCs w:val="21"/>
          <w:lang w:val="en-US" w:eastAsia="zh-CN"/>
        </w:rPr>
        <w:t>三、</w:t>
      </w:r>
      <w:r>
        <w:rPr>
          <w:rFonts w:hint="eastAsia"/>
          <w:b/>
          <w:bCs w:val="0"/>
          <w:sz w:val="21"/>
          <w:szCs w:val="21"/>
        </w:rPr>
        <w:t>详细技术参数及产品资料、配品配件等：</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ascii="宋体" w:hAnsi="宋体" w:cs="宋体"/>
          <w:b w:val="0"/>
          <w:bCs w:val="0"/>
          <w:kern w:val="0"/>
          <w:sz w:val="21"/>
          <w:szCs w:val="21"/>
          <w:lang w:val="en-US" w:eastAsia="zh-CN"/>
        </w:rPr>
        <w:t>本次投标报价为综合单次总价。该综合单价为按照甲方要求的验收标准完成施工项目的综合单价。该综合单价应包括但不限于各种材料费、劳务费、设备费、保险、运输费、装卸费、因达不到验收标准的返工、配合、协调、办理相关手续、利润、税金、政策性文件规定的各项应有费用及合同明示或暗示的所有一切风险、责任和义务的费用。不论投标报价书中的项目特征是否描述完全，都将被认为已包括实施对应项目所有工作内容及完成此工作内容而必须的各种辅助工作的费用。具体清单详见下表。</w:t>
      </w:r>
    </w:p>
    <w:tbl>
      <w:tblPr>
        <w:tblStyle w:val="34"/>
        <w:tblW w:w="7983" w:type="dxa"/>
        <w:jc w:val="center"/>
        <w:tblLayout w:type="fixed"/>
        <w:tblCellMar>
          <w:top w:w="0" w:type="dxa"/>
          <w:left w:w="108" w:type="dxa"/>
          <w:bottom w:w="0" w:type="dxa"/>
          <w:right w:w="108" w:type="dxa"/>
        </w:tblCellMar>
      </w:tblPr>
      <w:tblGrid>
        <w:gridCol w:w="692"/>
        <w:gridCol w:w="1689"/>
        <w:gridCol w:w="1491"/>
        <w:gridCol w:w="825"/>
        <w:gridCol w:w="810"/>
        <w:gridCol w:w="885"/>
        <w:gridCol w:w="1591"/>
      </w:tblGrid>
      <w:tr>
        <w:tblPrEx>
          <w:tblCellMar>
            <w:top w:w="0" w:type="dxa"/>
            <w:left w:w="108" w:type="dxa"/>
            <w:bottom w:w="0" w:type="dxa"/>
            <w:right w:w="108" w:type="dxa"/>
          </w:tblCellMar>
        </w:tblPrEx>
        <w:trPr>
          <w:trHeight w:val="847" w:hRule="exac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rPr>
              <w:t>序号</w:t>
            </w:r>
          </w:p>
        </w:tc>
        <w:tc>
          <w:tcPr>
            <w:tcW w:w="16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rPr>
              <w:t>产品名称</w:t>
            </w:r>
          </w:p>
        </w:tc>
        <w:tc>
          <w:tcPr>
            <w:tcW w:w="14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rPr>
              <w:t>型号规格</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rPr>
              <w:t>单位</w:t>
            </w:r>
          </w:p>
        </w:tc>
        <w:tc>
          <w:tcPr>
            <w:tcW w:w="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rPr>
              <w:t>数量</w:t>
            </w:r>
          </w:p>
        </w:tc>
        <w:tc>
          <w:tcPr>
            <w:tcW w:w="8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color w:val="000000"/>
                <w:sz w:val="21"/>
                <w:szCs w:val="21"/>
              </w:rPr>
            </w:pPr>
            <w:r>
              <w:rPr>
                <w:rFonts w:hint="eastAsia" w:ascii="宋体" w:hAnsi="宋体" w:cs="宋体"/>
                <w:b/>
                <w:bCs/>
                <w:color w:val="000000"/>
                <w:kern w:val="0"/>
                <w:sz w:val="21"/>
                <w:szCs w:val="21"/>
                <w:lang w:val="en-US" w:eastAsia="zh-CN"/>
              </w:rPr>
              <w:t>拦标</w:t>
            </w:r>
            <w:r>
              <w:rPr>
                <w:rFonts w:hint="eastAsia" w:ascii="宋体" w:hAnsi="宋体" w:eastAsia="宋体" w:cs="宋体"/>
                <w:b/>
                <w:bCs/>
                <w:color w:val="000000"/>
                <w:kern w:val="0"/>
                <w:sz w:val="21"/>
                <w:szCs w:val="21"/>
              </w:rPr>
              <w:t>单价</w:t>
            </w:r>
          </w:p>
        </w:tc>
        <w:tc>
          <w:tcPr>
            <w:tcW w:w="15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rPr>
              <w:t>备注</w:t>
            </w:r>
          </w:p>
        </w:tc>
      </w:tr>
      <w:tr>
        <w:tblPrEx>
          <w:tblCellMar>
            <w:top w:w="0" w:type="dxa"/>
            <w:left w:w="108" w:type="dxa"/>
            <w:bottom w:w="0" w:type="dxa"/>
            <w:right w:w="108" w:type="dxa"/>
          </w:tblCellMar>
        </w:tblPrEx>
        <w:trPr>
          <w:trHeight w:val="1205" w:hRule="exact"/>
          <w:jc w:val="center"/>
        </w:trPr>
        <w:tc>
          <w:tcPr>
            <w:tcW w:w="692" w:type="dxa"/>
            <w:tcBorders>
              <w:top w:val="single" w:color="000000" w:sz="4" w:space="0"/>
              <w:left w:val="single" w:color="000000" w:sz="4" w:space="0"/>
              <w:bottom w:val="single" w:color="auto"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1</w:t>
            </w:r>
          </w:p>
        </w:tc>
        <w:tc>
          <w:tcPr>
            <w:tcW w:w="168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七氟丙烷柜式灭火装置</w:t>
            </w: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GQQ150/2.5</w:t>
            </w:r>
          </w:p>
        </w:tc>
        <w:tc>
          <w:tcPr>
            <w:tcW w:w="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套</w:t>
            </w: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6</w:t>
            </w:r>
          </w:p>
        </w:tc>
        <w:tc>
          <w:tcPr>
            <w:tcW w:w="8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cs="宋体"/>
                <w:color w:val="000000"/>
                <w:szCs w:val="21"/>
              </w:rPr>
              <w:t>5400</w:t>
            </w:r>
          </w:p>
        </w:tc>
        <w:tc>
          <w:tcPr>
            <w:tcW w:w="1591"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包括钢瓶、柜子、各种阀门、管件等辅材</w:t>
            </w:r>
          </w:p>
        </w:tc>
      </w:tr>
      <w:tr>
        <w:tblPrEx>
          <w:tblCellMar>
            <w:top w:w="0" w:type="dxa"/>
            <w:left w:w="108" w:type="dxa"/>
            <w:bottom w:w="0" w:type="dxa"/>
            <w:right w:w="108" w:type="dxa"/>
          </w:tblCellMar>
        </w:tblPrEx>
        <w:trPr>
          <w:trHeight w:val="567" w:hRule="exact"/>
          <w:jc w:val="center"/>
        </w:trPr>
        <w:tc>
          <w:tcPr>
            <w:tcW w:w="692" w:type="dxa"/>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68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药剂</w:t>
            </w: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HFC-227ea</w:t>
            </w:r>
          </w:p>
        </w:tc>
        <w:tc>
          <w:tcPr>
            <w:tcW w:w="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Kg</w:t>
            </w: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816</w:t>
            </w:r>
          </w:p>
        </w:tc>
        <w:tc>
          <w:tcPr>
            <w:tcW w:w="8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cs="宋体"/>
                <w:color w:val="000000"/>
                <w:szCs w:val="21"/>
              </w:rPr>
              <w:t>68</w:t>
            </w:r>
          </w:p>
        </w:tc>
        <w:tc>
          <w:tcPr>
            <w:tcW w:w="1591" w:type="dxa"/>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配合钢瓶使用</w:t>
            </w:r>
          </w:p>
        </w:tc>
      </w:tr>
      <w:tr>
        <w:tblPrEx>
          <w:tblCellMar>
            <w:top w:w="0" w:type="dxa"/>
            <w:left w:w="108" w:type="dxa"/>
            <w:bottom w:w="0" w:type="dxa"/>
            <w:right w:w="108" w:type="dxa"/>
          </w:tblCellMar>
        </w:tblPrEx>
        <w:trPr>
          <w:trHeight w:val="1607" w:hRule="exact"/>
          <w:jc w:val="center"/>
        </w:trPr>
        <w:tc>
          <w:tcPr>
            <w:tcW w:w="692" w:type="dxa"/>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168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泄压装置</w:t>
            </w: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DSKJ-0.25J</w:t>
            </w:r>
          </w:p>
        </w:tc>
        <w:tc>
          <w:tcPr>
            <w:tcW w:w="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8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Cs w:val="21"/>
              </w:rPr>
              <w:t>1500</w:t>
            </w:r>
          </w:p>
        </w:tc>
        <w:tc>
          <w:tcPr>
            <w:tcW w:w="1591" w:type="dxa"/>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rPr>
              <w:t>包括泄压口开孔、泄压阀及安装，洞口尺寸800*400</w:t>
            </w:r>
          </w:p>
        </w:tc>
      </w:tr>
      <w:tr>
        <w:tblPrEx>
          <w:tblCellMar>
            <w:top w:w="0" w:type="dxa"/>
            <w:left w:w="108" w:type="dxa"/>
            <w:bottom w:w="0" w:type="dxa"/>
            <w:right w:w="108" w:type="dxa"/>
          </w:tblCellMar>
        </w:tblPrEx>
        <w:trPr>
          <w:trHeight w:val="850" w:hRule="exact"/>
          <w:jc w:val="center"/>
        </w:trPr>
        <w:tc>
          <w:tcPr>
            <w:tcW w:w="692" w:type="dxa"/>
            <w:tcBorders>
              <w:top w:val="single" w:color="auto" w:sz="4" w:space="0"/>
              <w:left w:val="single" w:color="000000"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6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点型光电感烟火灾探测器</w:t>
            </w: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只</w:t>
            </w: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6</w:t>
            </w:r>
          </w:p>
        </w:tc>
        <w:tc>
          <w:tcPr>
            <w:tcW w:w="8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Cs w:val="21"/>
              </w:rPr>
              <w:t>95</w:t>
            </w:r>
          </w:p>
        </w:tc>
        <w:tc>
          <w:tcPr>
            <w:tcW w:w="1591"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包括各种电缆、线管等辅材和调试费用</w:t>
            </w:r>
          </w:p>
        </w:tc>
      </w:tr>
      <w:tr>
        <w:tblPrEx>
          <w:tblCellMar>
            <w:top w:w="0" w:type="dxa"/>
            <w:left w:w="108" w:type="dxa"/>
            <w:bottom w:w="0" w:type="dxa"/>
            <w:right w:w="108" w:type="dxa"/>
          </w:tblCellMar>
        </w:tblPrEx>
        <w:trPr>
          <w:trHeight w:val="850" w:hRule="exact"/>
          <w:jc w:val="center"/>
        </w:trPr>
        <w:tc>
          <w:tcPr>
            <w:tcW w:w="692" w:type="dxa"/>
            <w:tcBorders>
              <w:top w:val="single" w:color="auto"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16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点型感温火灾探测器</w:t>
            </w: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只</w:t>
            </w: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8</w:t>
            </w:r>
          </w:p>
        </w:tc>
        <w:tc>
          <w:tcPr>
            <w:tcW w:w="8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Cs w:val="21"/>
              </w:rPr>
              <w:t>95</w:t>
            </w:r>
          </w:p>
        </w:tc>
        <w:tc>
          <w:tcPr>
            <w:tcW w:w="1591"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567" w:hRule="exact"/>
          <w:jc w:val="center"/>
        </w:trPr>
        <w:tc>
          <w:tcPr>
            <w:tcW w:w="6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6</w:t>
            </w:r>
          </w:p>
        </w:tc>
        <w:tc>
          <w:tcPr>
            <w:tcW w:w="16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火灾声光警报器</w:t>
            </w: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套</w:t>
            </w: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w:t>
            </w:r>
          </w:p>
        </w:tc>
        <w:tc>
          <w:tcPr>
            <w:tcW w:w="8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Cs w:val="21"/>
              </w:rPr>
              <w:t>125</w:t>
            </w:r>
          </w:p>
        </w:tc>
        <w:tc>
          <w:tcPr>
            <w:tcW w:w="1591"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567" w:hRule="exact"/>
          <w:jc w:val="center"/>
        </w:trPr>
        <w:tc>
          <w:tcPr>
            <w:tcW w:w="6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7</w:t>
            </w:r>
          </w:p>
        </w:tc>
        <w:tc>
          <w:tcPr>
            <w:tcW w:w="16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智能电源箱</w:t>
            </w: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8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Cs w:val="21"/>
              </w:rPr>
              <w:t>2300</w:t>
            </w:r>
          </w:p>
        </w:tc>
        <w:tc>
          <w:tcPr>
            <w:tcW w:w="1591"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850" w:hRule="exact"/>
          <w:jc w:val="center"/>
        </w:trPr>
        <w:tc>
          <w:tcPr>
            <w:tcW w:w="6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8</w:t>
            </w:r>
          </w:p>
        </w:tc>
        <w:tc>
          <w:tcPr>
            <w:tcW w:w="16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气体灭火控制器/火灾报警控制器</w:t>
            </w: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台</w:t>
            </w: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8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Cs w:val="21"/>
              </w:rPr>
              <w:t>5522</w:t>
            </w:r>
          </w:p>
        </w:tc>
        <w:tc>
          <w:tcPr>
            <w:tcW w:w="1591"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567" w:hRule="exact"/>
          <w:jc w:val="center"/>
        </w:trPr>
        <w:tc>
          <w:tcPr>
            <w:tcW w:w="6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9</w:t>
            </w:r>
          </w:p>
        </w:tc>
        <w:tc>
          <w:tcPr>
            <w:tcW w:w="16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气体释放警报器</w:t>
            </w: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只</w:t>
            </w: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8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Cs w:val="21"/>
              </w:rPr>
              <w:t>240</w:t>
            </w:r>
          </w:p>
        </w:tc>
        <w:tc>
          <w:tcPr>
            <w:tcW w:w="1591"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p>
        </w:tc>
      </w:tr>
      <w:tr>
        <w:tblPrEx>
          <w:tblCellMar>
            <w:top w:w="0" w:type="dxa"/>
            <w:left w:w="108" w:type="dxa"/>
            <w:bottom w:w="0" w:type="dxa"/>
            <w:right w:w="108" w:type="dxa"/>
          </w:tblCellMar>
        </w:tblPrEx>
        <w:trPr>
          <w:trHeight w:val="567" w:hRule="exact"/>
          <w:jc w:val="center"/>
        </w:trPr>
        <w:tc>
          <w:tcPr>
            <w:tcW w:w="69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16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紧急启停按钮</w:t>
            </w: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只</w:t>
            </w:r>
          </w:p>
        </w:tc>
        <w:tc>
          <w:tcPr>
            <w:tcW w:w="81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88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Cs w:val="21"/>
              </w:rPr>
              <w:t>240</w:t>
            </w:r>
          </w:p>
        </w:tc>
        <w:tc>
          <w:tcPr>
            <w:tcW w:w="1591"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kern w:val="0"/>
                <w:sz w:val="21"/>
                <w:szCs w:val="21"/>
              </w:rPr>
            </w:pPr>
          </w:p>
        </w:tc>
      </w:tr>
    </w:tbl>
    <w:p>
      <w:pPr>
        <w:keepNext w:val="0"/>
        <w:keepLines w:val="0"/>
        <w:pageBreakBefore w:val="0"/>
        <w:widowControl/>
        <w:shd w:val="clear" w:color="auto" w:fill="FFFFFF"/>
        <w:kinsoku/>
        <w:wordWrap/>
        <w:overflowPunct/>
        <w:topLinePunct w:val="0"/>
        <w:autoSpaceDE/>
        <w:autoSpaceDN/>
        <w:bidi w:val="0"/>
        <w:adjustRightInd/>
        <w:snapToGrid/>
        <w:spacing w:line="360" w:lineRule="auto"/>
        <w:textAlignment w:val="auto"/>
        <w:rPr>
          <w:rFonts w:hint="eastAsia" w:ascii="宋体" w:hAnsi="宋体" w:cs="宋体"/>
          <w:b w:val="0"/>
          <w:bCs w:val="0"/>
          <w:i w:val="0"/>
          <w:iCs w:val="0"/>
          <w:kern w:val="0"/>
          <w:sz w:val="21"/>
          <w:szCs w:val="21"/>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360" w:lineRule="auto"/>
        <w:textAlignment w:val="auto"/>
        <w:rPr>
          <w:rFonts w:hint="eastAsia" w:ascii="宋体" w:hAnsi="宋体" w:cs="宋体"/>
          <w:b/>
          <w:bCs/>
          <w:kern w:val="0"/>
          <w:sz w:val="21"/>
          <w:szCs w:val="21"/>
        </w:rPr>
      </w:pPr>
      <w:r>
        <w:rPr>
          <w:rFonts w:hint="eastAsia" w:ascii="宋体" w:hAnsi="宋体" w:cs="宋体"/>
          <w:b/>
          <w:bCs/>
          <w:kern w:val="0"/>
          <w:sz w:val="21"/>
          <w:szCs w:val="21"/>
          <w:lang w:val="en-US" w:eastAsia="zh-CN"/>
        </w:rPr>
        <w:t>四</w:t>
      </w:r>
      <w:r>
        <w:rPr>
          <w:rFonts w:hint="eastAsia" w:ascii="宋体" w:hAnsi="宋体" w:cs="宋体"/>
          <w:b/>
          <w:bCs/>
          <w:kern w:val="0"/>
          <w:sz w:val="21"/>
          <w:szCs w:val="21"/>
        </w:rPr>
        <w:t>、</w:t>
      </w:r>
      <w:r>
        <w:rPr>
          <w:rFonts w:hint="eastAsia" w:ascii="宋体" w:hAnsi="宋体" w:eastAsia="宋体" w:cs="宋体"/>
          <w:b/>
          <w:bCs/>
          <w:color w:val="auto"/>
          <w:kern w:val="2"/>
          <w:sz w:val="21"/>
          <w:szCs w:val="21"/>
          <w:highlight w:val="none"/>
          <w:lang w:val="en-US" w:eastAsia="zh-CN" w:bidi="ar-SA"/>
        </w:rPr>
        <w:t>售后服务条件及交货日期（或工期）：</w:t>
      </w:r>
    </w:p>
    <w:p>
      <w:pPr>
        <w:pStyle w:val="31"/>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jc w:val="both"/>
        <w:textAlignment w:val="auto"/>
        <w:rPr>
          <w:rFonts w:hint="eastAsia" w:ascii="宋体" w:hAnsi="宋体" w:eastAsia="宋体" w:cs="宋体"/>
          <w:b w:val="0"/>
          <w:bCs/>
          <w:color w:val="000000"/>
          <w:sz w:val="21"/>
          <w:szCs w:val="21"/>
        </w:rPr>
      </w:pPr>
      <w:r>
        <w:rPr>
          <w:rFonts w:hint="eastAsia" w:ascii="宋体" w:hAnsi="宋体" w:eastAsia="宋体" w:cs="宋体"/>
          <w:b w:val="0"/>
          <w:bCs/>
          <w:color w:val="000000"/>
          <w:sz w:val="21"/>
          <w:szCs w:val="21"/>
        </w:rPr>
        <w:t>自开始施工当日起，15天完成所有施工，并保障正常运行，对相关人员进行一次技术操作培训。非人为损坏，质保三年。</w:t>
      </w:r>
    </w:p>
    <w:bookmarkEnd w:id="30"/>
    <w:bookmarkEnd w:id="31"/>
    <w:p>
      <w:pPr>
        <w:rPr>
          <w:rFonts w:hint="eastAsia"/>
          <w:b/>
          <w:bCs/>
          <w:color w:val="auto"/>
          <w:sz w:val="30"/>
          <w:szCs w:val="30"/>
          <w:highlight w:val="none"/>
        </w:rPr>
      </w:pPr>
      <w:r>
        <w:rPr>
          <w:rFonts w:hint="eastAsia"/>
          <w:b/>
          <w:bCs/>
          <w:color w:val="auto"/>
          <w:sz w:val="30"/>
          <w:szCs w:val="30"/>
          <w:highlight w:val="none"/>
        </w:rPr>
        <w:br w:type="page"/>
      </w:r>
    </w:p>
    <w:p>
      <w:pPr>
        <w:pStyle w:val="7"/>
        <w:numPr>
          <w:ilvl w:val="0"/>
          <w:numId w:val="0"/>
        </w:numPr>
        <w:spacing w:after="0"/>
        <w:jc w:val="center"/>
        <w:rPr>
          <w:b/>
          <w:bCs/>
          <w:color w:val="auto"/>
          <w:sz w:val="30"/>
          <w:szCs w:val="30"/>
          <w:highlight w:val="none"/>
        </w:rPr>
      </w:pPr>
      <w:r>
        <w:rPr>
          <w:rFonts w:hint="eastAsia"/>
          <w:b/>
          <w:bCs/>
          <w:color w:val="auto"/>
          <w:sz w:val="30"/>
          <w:szCs w:val="30"/>
          <w:highlight w:val="none"/>
        </w:rPr>
        <w:t>商务要求</w:t>
      </w:r>
    </w:p>
    <w:tbl>
      <w:tblPr>
        <w:tblStyle w:val="34"/>
        <w:tblpPr w:leftFromText="180" w:rightFromText="180" w:vertAnchor="text" w:tblpXSpec="center" w:tblpY="1"/>
        <w:tblOverlap w:val="never"/>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66"/>
        <w:gridCol w:w="73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合同签订时间</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rPr>
              <w:t>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日历日</w:t>
            </w:r>
            <w:r>
              <w:rPr>
                <w:rFonts w:hint="eastAsia" w:ascii="宋体" w:hAnsi="宋体" w:cs="宋体"/>
                <w:color w:val="auto"/>
                <w:kern w:val="0"/>
                <w:szCs w:val="21"/>
                <w:highlight w:val="none"/>
              </w:rPr>
              <w:t>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kern w:val="0"/>
                <w:sz w:val="21"/>
                <w:szCs w:val="21"/>
              </w:rPr>
              <w:t>服务要求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宋体" w:hAnsi="宋体" w:eastAsia="宋体" w:cs="宋体"/>
                <w:color w:val="auto"/>
                <w:kern w:val="0"/>
                <w:szCs w:val="21"/>
                <w:highlight w:val="none"/>
                <w:lang w:val="en-US" w:eastAsia="zh-CN"/>
              </w:rPr>
            </w:pPr>
            <w:r>
              <w:rPr>
                <w:rFonts w:hint="eastAsia" w:ascii="Times New Roman" w:hAnsi="Times New Roman" w:eastAsia="宋体" w:cs="Times New Roman"/>
                <w:sz w:val="21"/>
                <w:szCs w:val="21"/>
                <w:lang w:val="en-US" w:eastAsia="zh-CN"/>
              </w:rPr>
              <w:t>供应商必须提供详尽的服务，配备工作人员不得变动，严格按本章所列采购要求进行服务和工作，否则采购人有权解除合同、并要求赔偿损失。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Cs w:val="21"/>
                <w:highlight w:val="none"/>
                <w:lang w:eastAsia="zh-CN"/>
              </w:rPr>
            </w:pPr>
            <w:r>
              <w:rPr>
                <w:rFonts w:hint="eastAsia" w:ascii="宋体" w:hAnsi="宋体" w:eastAsia="宋体" w:cs="宋体"/>
                <w:color w:val="auto"/>
                <w:szCs w:val="21"/>
                <w:highlight w:val="none"/>
                <w:shd w:val="clear" w:color="auto" w:fill="FFFFFF"/>
                <w:lang w:val="en-US" w:eastAsia="zh-CN"/>
              </w:rPr>
              <w:t>工期</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lang w:eastAsia="zh-CN"/>
              </w:rPr>
            </w:pPr>
            <w:r>
              <w:rPr>
                <w:rFonts w:hint="eastAsia" w:ascii="宋体" w:hAnsi="宋体" w:eastAsia="宋体" w:cs="宋体"/>
                <w:b w:val="0"/>
                <w:bCs/>
                <w:color w:val="000000"/>
                <w:sz w:val="21"/>
                <w:szCs w:val="21"/>
              </w:rPr>
              <w:t>自开始施工当日起，15天完成所有施工</w:t>
            </w:r>
            <w:r>
              <w:rPr>
                <w:rFonts w:hint="eastAsia" w:ascii="宋体" w:hAnsi="宋体" w:cs="宋体"/>
                <w:b w:val="0"/>
                <w:bCs/>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kern w:val="0"/>
                <w:sz w:val="21"/>
                <w:szCs w:val="21"/>
              </w:rPr>
              <w:t>项目验收</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Times New Roman" w:hAnsi="Times New Roman" w:eastAsia="宋体" w:cs="Times New Roman"/>
                <w:sz w:val="21"/>
                <w:szCs w:val="21"/>
                <w:lang w:val="en-US" w:eastAsia="zh-CN"/>
              </w:rPr>
              <w:t>工程竣工后，施工方应按照</w:t>
            </w:r>
            <w:r>
              <w:rPr>
                <w:rFonts w:hint="eastAsia" w:cs="Times New Roman"/>
                <w:sz w:val="21"/>
                <w:szCs w:val="21"/>
                <w:lang w:val="en-US" w:eastAsia="zh-CN"/>
              </w:rPr>
              <w:t>采购</w:t>
            </w:r>
            <w:r>
              <w:rPr>
                <w:rFonts w:hint="eastAsia" w:ascii="Times New Roman" w:hAnsi="Times New Roman" w:eastAsia="宋体" w:cs="Times New Roman"/>
                <w:sz w:val="21"/>
                <w:szCs w:val="21"/>
                <w:lang w:val="en-US" w:eastAsia="zh-CN"/>
              </w:rPr>
              <w:t>文件及合同约定向采购人报送竣工书面的验收申请报告，</w:t>
            </w:r>
            <w:r>
              <w:rPr>
                <w:rFonts w:hint="eastAsia" w:ascii="宋体" w:hAnsi="宋体" w:cs="宋体"/>
                <w:color w:val="auto"/>
                <w:kern w:val="0"/>
                <w:szCs w:val="21"/>
                <w:highlight w:val="none"/>
              </w:rPr>
              <w:t>由采购人按照有关规定组织验收</w:t>
            </w:r>
            <w:r>
              <w:rPr>
                <w:rFonts w:hint="eastAsia"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质量要求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付款方式</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以供货合同签订为准。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宋体" w:cs="宋体"/>
                <w:color w:val="auto"/>
                <w:kern w:val="0"/>
                <w:szCs w:val="21"/>
                <w:highlight w:val="none"/>
              </w:rPr>
            </w:pPr>
            <w:r>
              <w:rPr>
                <w:rFonts w:hint="eastAsia" w:ascii="宋体" w:hAnsi="宋体"/>
                <w:color w:val="auto"/>
                <w:kern w:val="0"/>
                <w:szCs w:val="21"/>
                <w:highlight w:val="none"/>
              </w:rPr>
              <w:t>售后技术服务要求、售后服务保障要求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中标人须提供后期服务保障和技术支持。</w:t>
            </w:r>
          </w:p>
        </w:tc>
      </w:tr>
    </w:tbl>
    <w:p>
      <w:pPr>
        <w:pStyle w:val="33"/>
        <w:keepNext w:val="0"/>
        <w:keepLines w:val="0"/>
        <w:pageBreakBefore w:val="0"/>
        <w:kinsoku/>
        <w:wordWrap/>
        <w:overflowPunct/>
        <w:topLinePunct w:val="0"/>
        <w:autoSpaceDE/>
        <w:autoSpaceDN/>
        <w:bidi w:val="0"/>
        <w:adjustRightInd/>
        <w:snapToGrid/>
        <w:spacing w:line="360" w:lineRule="auto"/>
        <w:ind w:firstLine="0" w:firstLineChars="0"/>
        <w:textAlignment w:val="auto"/>
        <w:rPr>
          <w:color w:val="auto"/>
          <w:highlight w:val="none"/>
        </w:rPr>
      </w:pPr>
    </w:p>
    <w:p>
      <w:pPr>
        <w:keepNext w:val="0"/>
        <w:keepLines w:val="0"/>
        <w:pageBreakBefore w:val="0"/>
        <w:kinsoku/>
        <w:wordWrap/>
        <w:overflowPunct/>
        <w:topLinePunct w:val="0"/>
        <w:autoSpaceDE/>
        <w:autoSpaceDN/>
        <w:bidi w:val="0"/>
        <w:adjustRightInd/>
        <w:snapToGrid/>
        <w:spacing w:line="360" w:lineRule="auto"/>
        <w:jc w:val="center"/>
        <w:textAlignment w:val="auto"/>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4"/>
        <w:tblW w:w="936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8"/>
        <w:gridCol w:w="80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51" w:hRule="atLeast"/>
        </w:trPr>
        <w:tc>
          <w:tcPr>
            <w:tcW w:w="136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80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1"/>
              </w:numPr>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不接受联合体投标，不允许转包和分包。</w:t>
            </w:r>
          </w:p>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、授权评标委员会确定一名中标人并推荐两名中标候选人。</w:t>
            </w:r>
          </w:p>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spacing w:val="14"/>
                <w:szCs w:val="21"/>
                <w:highlight w:val="none"/>
              </w:rPr>
            </w:pPr>
            <w:r>
              <w:rPr>
                <w:rFonts w:hint="eastAsia"/>
                <w:color w:val="auto"/>
                <w:sz w:val="21"/>
                <w:szCs w:val="21"/>
                <w:highlight w:val="none"/>
                <w:lang w:val="en-US" w:eastAsia="zh-CN"/>
              </w:rPr>
              <w:t>3</w:t>
            </w:r>
            <w:r>
              <w:rPr>
                <w:rFonts w:hint="eastAsia"/>
                <w:color w:val="auto"/>
                <w:sz w:val="21"/>
                <w:szCs w:val="21"/>
                <w:highlight w:val="none"/>
              </w:rPr>
              <w:t>、</w:t>
            </w:r>
            <w:r>
              <w:rPr>
                <w:rFonts w:hint="eastAsia" w:ascii="宋体" w:hAnsi="宋体" w:cs="宋体"/>
                <w:color w:val="auto"/>
                <w:spacing w:val="14"/>
                <w:szCs w:val="21"/>
                <w:highlight w:val="none"/>
              </w:rPr>
              <w:t>供应商应根据</w:t>
            </w:r>
            <w:r>
              <w:rPr>
                <w:rFonts w:hint="eastAsia" w:ascii="宋体" w:hAnsi="宋体" w:cs="宋体"/>
                <w:color w:val="auto"/>
                <w:spacing w:val="14"/>
                <w:szCs w:val="21"/>
                <w:highlight w:val="none"/>
                <w:lang w:val="en-US" w:eastAsia="zh-CN"/>
              </w:rPr>
              <w:t>采购</w:t>
            </w:r>
            <w:r>
              <w:rPr>
                <w:rFonts w:hint="eastAsia" w:ascii="宋体" w:hAnsi="宋体" w:cs="宋体"/>
                <w:color w:val="auto"/>
                <w:spacing w:val="14"/>
                <w:szCs w:val="21"/>
                <w:highlight w:val="none"/>
              </w:rPr>
              <w:t>文件的要求提供技术响应表、商务响应表等内容以对</w:t>
            </w:r>
            <w:r>
              <w:rPr>
                <w:rFonts w:hint="eastAsia" w:ascii="宋体" w:hAnsi="宋体" w:cs="宋体"/>
                <w:color w:val="auto"/>
                <w:spacing w:val="14"/>
                <w:szCs w:val="21"/>
                <w:highlight w:val="none"/>
                <w:lang w:val="en-US" w:eastAsia="zh-CN"/>
              </w:rPr>
              <w:t>采购</w:t>
            </w:r>
            <w:r>
              <w:rPr>
                <w:rFonts w:hint="eastAsia" w:ascii="宋体" w:hAnsi="宋体" w:cs="宋体"/>
                <w:color w:val="auto"/>
                <w:spacing w:val="14"/>
                <w:szCs w:val="21"/>
                <w:highlight w:val="none"/>
              </w:rPr>
              <w:t>文件作出响应。</w:t>
            </w:r>
          </w:p>
        </w:tc>
      </w:tr>
    </w:tbl>
    <w:p>
      <w:pPr>
        <w:pStyle w:val="7"/>
        <w:numPr>
          <w:ilvl w:val="0"/>
          <w:numId w:val="0"/>
        </w:numPr>
        <w:spacing w:after="0"/>
        <w:jc w:val="left"/>
        <w:rPr>
          <w:color w:val="auto"/>
          <w:sz w:val="32"/>
          <w:szCs w:val="32"/>
          <w:highlight w:val="none"/>
        </w:rPr>
      </w:pPr>
      <w:r>
        <w:rPr>
          <w:color w:val="auto"/>
          <w:sz w:val="32"/>
          <w:szCs w:val="32"/>
          <w:highlight w:val="none"/>
        </w:rPr>
        <w:br w:type="page"/>
      </w:r>
    </w:p>
    <w:p>
      <w:pPr>
        <w:rPr>
          <w:color w:val="auto"/>
          <w:highlight w:val="none"/>
        </w:rPr>
      </w:pPr>
    </w:p>
    <w:p>
      <w:pPr>
        <w:pStyle w:val="2"/>
        <w:spacing w:before="0" w:after="0" w:line="240" w:lineRule="atLeast"/>
        <w:jc w:val="center"/>
        <w:rPr>
          <w:color w:val="auto"/>
          <w:sz w:val="32"/>
          <w:szCs w:val="32"/>
          <w:highlight w:val="none"/>
        </w:rPr>
      </w:pPr>
      <w:bookmarkStart w:id="35" w:name="_Toc14504"/>
      <w:r>
        <w:rPr>
          <w:rFonts w:hint="eastAsia"/>
          <w:color w:val="auto"/>
          <w:sz w:val="32"/>
          <w:szCs w:val="32"/>
          <w:highlight w:val="none"/>
        </w:rPr>
        <w:t>第三章  投标人须知</w:t>
      </w:r>
      <w:bookmarkEnd w:id="35"/>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4"/>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eastAsia="宋体"/>
                <w:color w:val="auto"/>
                <w:highlight w:val="none"/>
                <w:lang w:eastAsia="zh-CN"/>
              </w:rPr>
            </w:pPr>
            <w:r>
              <w:rPr>
                <w:rFonts w:hint="eastAsia"/>
                <w:color w:val="auto"/>
                <w:highlight w:val="none"/>
              </w:rPr>
              <w:t>1.1 项目名称：</w:t>
            </w:r>
            <w:r>
              <w:rPr>
                <w:rFonts w:hint="eastAsia" w:ascii="宋体" w:hAnsi="宋体" w:cs="宋体"/>
                <w:color w:val="auto"/>
                <w:lang w:eastAsia="zh-CN"/>
              </w:rPr>
              <w:t>门诊楼配电室七氟丙烷灭火系统安装工程</w:t>
            </w:r>
          </w:p>
          <w:p>
            <w:pPr>
              <w:widowControl/>
              <w:snapToGrid w:val="0"/>
              <w:spacing w:line="440" w:lineRule="exact"/>
              <w:jc w:val="left"/>
              <w:outlineLvl w:val="0"/>
              <w:rPr>
                <w:color w:val="auto"/>
                <w:highlight w:val="none"/>
              </w:rPr>
            </w:pPr>
            <w:r>
              <w:rPr>
                <w:rFonts w:hint="eastAsia"/>
                <w:color w:val="auto"/>
                <w:highlight w:val="none"/>
              </w:rPr>
              <w:t>1.2 采购人名称：</w:t>
            </w:r>
            <w:r>
              <w:rPr>
                <w:rFonts w:hint="eastAsia" w:ascii="宋体" w:hAnsi="宋体" w:eastAsia="宋体" w:cs="宋体"/>
              </w:rPr>
              <w:t>驻马店市中心医院</w:t>
            </w:r>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采购预算（最高投标限价）：</w:t>
            </w:r>
            <w:r>
              <w:rPr>
                <w:rFonts w:hint="eastAsia" w:ascii="宋体" w:hAnsi="宋体" w:cs="宋体"/>
                <w:color w:val="auto"/>
                <w:kern w:val="0"/>
                <w:szCs w:val="21"/>
                <w:highlight w:val="none"/>
                <w:lang w:val="en-US" w:eastAsia="zh-CN"/>
              </w:rPr>
              <w:t>10万</w:t>
            </w:r>
            <w:r>
              <w:rPr>
                <w:rFonts w:hint="eastAsia" w:ascii="宋体" w:hAnsi="宋体" w:cs="宋体"/>
                <w:color w:val="auto"/>
                <w:kern w:val="0"/>
                <w:szCs w:val="21"/>
                <w:highlight w:val="none"/>
              </w:rPr>
              <w:t>元</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pPr>
            <w:r>
              <w:rPr>
                <w:rFonts w:hint="eastAsia"/>
              </w:rPr>
              <w:t>投标文件组成：纸质投标文件正本1份</w:t>
            </w:r>
            <w:r>
              <w:rPr>
                <w:rFonts w:hint="eastAsia"/>
                <w:lang w:eastAsia="zh-CN"/>
              </w:rPr>
              <w:t>、</w:t>
            </w:r>
            <w:r>
              <w:rPr>
                <w:rFonts w:hint="eastAsia"/>
                <w:lang w:val="en-US" w:eastAsia="zh-CN"/>
              </w:rPr>
              <w:t>副本2份</w:t>
            </w:r>
            <w:r>
              <w:rPr>
                <w:rFonts w:hint="eastAsia"/>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val="en-US"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w:t>
      </w:r>
      <w:r>
        <w:rPr>
          <w:rFonts w:hint="eastAsia" w:ascii="宋体" w:hAnsi="宋体" w:cs="宋体"/>
          <w:color w:val="auto"/>
          <w:kern w:val="0"/>
          <w:szCs w:val="21"/>
          <w:highlight w:val="none"/>
          <w:lang w:val="en-US" w:eastAsia="zh-CN"/>
        </w:rPr>
        <w:t>工程</w:t>
      </w:r>
      <w:r>
        <w:rPr>
          <w:rFonts w:hint="eastAsia" w:ascii="宋体" w:hAnsi="宋体" w:cs="宋体"/>
          <w:color w:val="auto"/>
          <w:kern w:val="0"/>
          <w:szCs w:val="21"/>
          <w:highlight w:val="none"/>
        </w:rPr>
        <w:t>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w:t>
      </w:r>
      <w:r>
        <w:rPr>
          <w:rFonts w:hint="eastAsia" w:ascii="宋体" w:hAnsi="宋体" w:cs="宋体"/>
          <w:color w:val="auto"/>
          <w:kern w:val="0"/>
          <w:szCs w:val="21"/>
          <w:highlight w:val="none"/>
          <w:lang w:val="en-US" w:eastAsia="zh-CN"/>
        </w:rPr>
        <w:t>供应商</w:t>
      </w:r>
      <w:r>
        <w:rPr>
          <w:rFonts w:hint="eastAsia" w:ascii="宋体" w:hAnsi="宋体" w:cs="宋体"/>
          <w:color w:val="auto"/>
          <w:kern w:val="0"/>
          <w:szCs w:val="21"/>
          <w:highlight w:val="none"/>
        </w:rPr>
        <w:t>”“投标人”系指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rPr>
        <w:t>“投标人代表”系指代表投标人参加本次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“工程”系指供应商按竞争性谈判文件规定向采购人提供的一切工作内容。</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100000.00</w:t>
      </w:r>
      <w:r>
        <w:rPr>
          <w:rFonts w:hint="eastAsia" w:ascii="宋体" w:hAnsi="宋体" w:cs="宋体"/>
          <w:b/>
          <w:bCs/>
          <w:color w:val="auto"/>
          <w:kern w:val="0"/>
          <w:szCs w:val="21"/>
          <w:highlight w:val="none"/>
        </w:rPr>
        <w:t>元</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val="0"/>
        <w:autoSpaceDE w:val="0"/>
        <w:autoSpaceDN w:val="0"/>
        <w:adjustRightInd w:val="0"/>
        <w:snapToGrid w:val="0"/>
        <w:spacing w:line="360" w:lineRule="auto"/>
        <w:ind w:firstLine="420" w:firstLineChars="200"/>
        <w:rPr>
          <w:rFonts w:hint="eastAsia"/>
          <w:lang w:val="en-US" w:eastAsia="zh-CN"/>
        </w:rPr>
      </w:pPr>
      <w:r>
        <w:rPr>
          <w:rFonts w:hint="eastAsia" w:ascii="宋体" w:hAnsi="宋体" w:cs="宋体"/>
          <w:color w:val="auto"/>
          <w:kern w:val="2"/>
          <w:sz w:val="21"/>
          <w:szCs w:val="24"/>
          <w:lang w:val="en-US" w:eastAsia="zh-CN" w:bidi="ar-SA"/>
        </w:rPr>
        <w:t xml:space="preserve">4.2 </w:t>
      </w:r>
      <w:r>
        <w:rPr>
          <w:rFonts w:hint="eastAsia" w:ascii="宋体" w:hAnsi="宋体" w:eastAsia="宋体" w:cs="宋体"/>
          <w:color w:val="auto"/>
          <w:kern w:val="2"/>
          <w:sz w:val="21"/>
          <w:szCs w:val="24"/>
          <w:lang w:val="en-US" w:eastAsia="zh-CN" w:bidi="ar-SA"/>
        </w:rPr>
        <w:t>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4.3 供应商</w:t>
      </w:r>
      <w:r>
        <w:rPr>
          <w:rFonts w:hint="eastAsia" w:ascii="宋体" w:hAnsi="宋体" w:eastAsia="宋体" w:cs="宋体"/>
          <w:color w:val="auto"/>
          <w:kern w:val="2"/>
          <w:sz w:val="21"/>
          <w:szCs w:val="24"/>
          <w:lang w:val="en-US" w:eastAsia="zh-CN" w:bidi="ar-SA"/>
        </w:rPr>
        <w:t>应在“社会消防技术服务信息系统”网站（https://www.shhxf119.com）公示并具备消防设施工程专业承包二级及以上企业资质，应具备安全生产许可证；</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lang w:val="en-US" w:eastAsia="zh-CN"/>
        </w:rPr>
        <w:t xml:space="preserve">4.4 </w:t>
      </w:r>
      <w:r>
        <w:rPr>
          <w:rFonts w:hint="eastAsia" w:ascii="宋体" w:hAnsi="宋体" w:eastAsia="宋体" w:cs="宋体"/>
          <w:color w:val="auto"/>
          <w:lang w:val="en-US" w:eastAsia="zh-CN"/>
        </w:rPr>
        <w:t>供应商应具有国家固定灭火系统和耐火构件质量监督检验中心出具的检验报告和国家消防产品认证证书</w:t>
      </w:r>
      <w:r>
        <w:rPr>
          <w:rFonts w:hint="eastAsia" w:ascii="宋体" w:hAnsi="宋体" w:cs="宋体"/>
          <w:color w:val="auto"/>
          <w:lang w:val="en-US" w:eastAsia="zh-CN"/>
        </w:rPr>
        <w:t>；</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 xml:space="preserve">4.5 </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 xml:space="preserve">4.6 </w:t>
      </w:r>
      <w:r>
        <w:rPr>
          <w:rFonts w:hint="eastAsia" w:ascii="宋体" w:hAnsi="宋体" w:eastAsia="宋体" w:cs="宋体"/>
          <w:color w:val="auto"/>
          <w:kern w:val="2"/>
          <w:sz w:val="21"/>
          <w:szCs w:val="24"/>
          <w:lang w:val="en-US" w:eastAsia="zh-CN" w:bidi="ar-SA"/>
        </w:rPr>
        <w:t>参加本采购活动前三年内，在经营活动中没有重大违法记录（提供书面声明函）；</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
          <w:bCs/>
          <w:color w:val="auto"/>
          <w:kern w:val="0"/>
          <w:szCs w:val="21"/>
          <w:highlight w:val="none"/>
        </w:rPr>
      </w:pPr>
      <w:r>
        <w:rPr>
          <w:rFonts w:hint="eastAsia" w:ascii="宋体" w:hAnsi="宋体" w:cs="宋体"/>
          <w:color w:val="auto"/>
          <w:lang w:val="en-US" w:eastAsia="zh-CN"/>
        </w:rPr>
        <w:t xml:space="preserve">4.7 </w:t>
      </w:r>
      <w:r>
        <w:rPr>
          <w:rFonts w:hint="eastAsia" w:ascii="宋体" w:hAnsi="宋体" w:eastAsia="宋体" w:cs="宋体"/>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r>
        <w:rPr>
          <w:rFonts w:hint="eastAsia" w:ascii="宋体" w:hAnsi="宋体" w:eastAsia="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val="en-US"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文件、招标过程和中标结果中使自己合法权益受到损害的实质性内容，提供相关事实、依据和证据及其来源或线索，便于有关单位调查、答复和处理。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16.2、技术响应表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16.3、商务响应表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16.4、法定代表人身份证明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16.5、法定代表人授权书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16.6、证明文件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16.7、抵制商业贿赂承诺</w:t>
      </w:r>
    </w:p>
    <w:p>
      <w:pPr>
        <w:pStyle w:val="6"/>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16.8、投标人认为有必要的其他资料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eastAsia="宋体" w:cs="宋体"/>
          <w:color w:val="000000"/>
          <w:kern w:val="0"/>
          <w:sz w:val="21"/>
          <w:szCs w:val="21"/>
        </w:rPr>
        <w:t>供应商要按初次报价一览表、工程量清单的内容填写</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18.4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 xml:space="preserve">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采购</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rPr>
        <w:t>投标文件的正本与副本应</w:t>
      </w:r>
      <w:r>
        <w:rPr>
          <w:rFonts w:hint="eastAsia" w:ascii="宋体" w:hAnsi="宋体" w:cs="宋体"/>
          <w:color w:val="auto"/>
          <w:kern w:val="0"/>
          <w:szCs w:val="21"/>
          <w:highlight w:val="none"/>
          <w:lang w:val="en-US" w:eastAsia="zh-CN"/>
        </w:rPr>
        <w:t>密封</w:t>
      </w:r>
      <w:r>
        <w:rPr>
          <w:rFonts w:hint="eastAsia" w:ascii="宋体" w:hAnsi="宋体" w:cs="宋体"/>
          <w:color w:val="auto"/>
          <w:kern w:val="0"/>
          <w:szCs w:val="21"/>
          <w:highlight w:val="none"/>
        </w:rPr>
        <w:t>包装，加贴封条，并在封套的封口处加盖投标人单位公章。</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lang w:eastAsia="zh-CN"/>
        </w:rPr>
      </w:pPr>
      <w:r>
        <w:rPr>
          <w:rFonts w:hint="eastAsia" w:ascii="宋体" w:hAnsi="宋体" w:eastAsia="宋体" w:cs="宋体"/>
          <w:lang w:eastAsia="zh-CN"/>
        </w:rPr>
        <w:t>2</w:t>
      </w:r>
      <w:r>
        <w:rPr>
          <w:rFonts w:hint="eastAsia" w:ascii="宋体" w:hAnsi="宋体" w:eastAsia="宋体" w:cs="宋体"/>
          <w:lang w:val="en-US" w:eastAsia="zh-CN"/>
        </w:rPr>
        <w:t>1</w:t>
      </w:r>
      <w:r>
        <w:rPr>
          <w:rFonts w:hint="eastAsia" w:ascii="宋体" w:hAnsi="宋体" w:eastAsia="宋体" w:cs="宋体"/>
          <w:lang w:eastAsia="zh-CN"/>
        </w:rPr>
        <w:t xml:space="preserve">.3 </w:t>
      </w:r>
      <w:r>
        <w:rPr>
          <w:rFonts w:hint="eastAsia"/>
          <w:lang w:eastAsia="zh-CN"/>
        </w:rPr>
        <w:t>未按本章第2</w:t>
      </w:r>
      <w:r>
        <w:rPr>
          <w:rFonts w:hint="eastAsia"/>
          <w:lang w:val="en-US" w:eastAsia="zh-CN"/>
        </w:rPr>
        <w:t>1</w:t>
      </w:r>
      <w:r>
        <w:rPr>
          <w:rFonts w:hint="eastAsia"/>
          <w:lang w:eastAsia="zh-CN"/>
        </w:rPr>
        <w:t>.1项或第2</w:t>
      </w:r>
      <w:r>
        <w:rPr>
          <w:rFonts w:hint="eastAsia"/>
          <w:lang w:val="en-US" w:eastAsia="zh-CN"/>
        </w:rPr>
        <w:t>1</w:t>
      </w:r>
      <w:r>
        <w:rPr>
          <w:rFonts w:hint="eastAsia"/>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31"/>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31"/>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6"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6"/>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yellow"/>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37"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37"/>
    <w:p>
      <w:pPr>
        <w:rPr>
          <w:color w:val="auto"/>
          <w:highlight w:val="none"/>
        </w:rPr>
      </w:pPr>
      <w:bookmarkStart w:id="38" w:name="_Toc4700"/>
      <w:bookmarkStart w:id="39"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0" w:name="_Toc9022"/>
      <w:r>
        <w:rPr>
          <w:rFonts w:hint="eastAsia" w:ascii="黑体" w:hAnsi="宋体" w:eastAsia="黑体" w:cs="宋体"/>
          <w:b/>
          <w:bCs/>
          <w:color w:val="auto"/>
          <w:kern w:val="0"/>
          <w:sz w:val="32"/>
          <w:szCs w:val="32"/>
          <w:highlight w:val="none"/>
        </w:rPr>
        <w:t>第四章  评标办法及评分标准</w:t>
      </w:r>
      <w:bookmarkEnd w:id="38"/>
      <w:bookmarkEnd w:id="40"/>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3"/>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4"/>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140"/>
        <w:gridCol w:w="6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4"/>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4"/>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工程质量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（30分）</w:t>
            </w:r>
          </w:p>
        </w:tc>
        <w:tc>
          <w:tcPr>
            <w:tcW w:w="214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施工方案、技术标准、质量管理、安全管理、文明施工管理、工程进度管理等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color w:val="auto"/>
                <w:sz w:val="21"/>
                <w:szCs w:val="21"/>
                <w:highlight w:val="none"/>
                <w:lang w:val="en-US" w:eastAsia="zh-CN"/>
              </w:rPr>
              <w:t>根据投标人所附主要施工方案及技术措施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质量管理体系与措施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安全管理体系与措施</w:t>
            </w:r>
            <w:r>
              <w:rPr>
                <w:rFonts w:hint="eastAsia" w:ascii="宋体" w:hAnsi="宋体" w:eastAsia="宋体" w:cs="宋体"/>
                <w:color w:val="auto"/>
                <w:sz w:val="21"/>
                <w:szCs w:val="21"/>
                <w:highlight w:val="none"/>
                <w:lang w:eastAsia="zh-CN"/>
              </w:rPr>
              <w:t>、</w:t>
            </w:r>
            <w:r>
              <w:rPr>
                <w:rFonts w:hint="eastAsia" w:ascii="宋体" w:hAnsi="宋体" w:eastAsia="宋体" w:cs="宋体"/>
                <w:i w:val="0"/>
                <w:iCs w:val="0"/>
                <w:color w:val="000000"/>
                <w:kern w:val="0"/>
                <w:sz w:val="21"/>
                <w:szCs w:val="21"/>
                <w:u w:val="none"/>
                <w:lang w:val="en-US" w:eastAsia="zh-CN" w:bidi="ar"/>
              </w:rPr>
              <w:t>工程进度管理、</w:t>
            </w:r>
            <w:r>
              <w:rPr>
                <w:rFonts w:hint="eastAsia" w:ascii="宋体" w:hAnsi="宋体" w:eastAsia="宋体" w:cs="宋体"/>
                <w:color w:val="auto"/>
                <w:sz w:val="21"/>
                <w:szCs w:val="21"/>
                <w:highlight w:val="none"/>
              </w:rPr>
              <w:t>工期保证措施</w:t>
            </w:r>
            <w:r>
              <w:rPr>
                <w:rFonts w:hint="eastAsia" w:ascii="宋体" w:hAnsi="宋体" w:eastAsia="宋体" w:cs="宋体"/>
                <w:color w:val="auto"/>
                <w:sz w:val="21"/>
                <w:szCs w:val="21"/>
                <w:highlight w:val="none"/>
                <w:lang w:val="en-US" w:eastAsia="zh-CN"/>
              </w:rPr>
              <w:t>等相关内容进行打分</w:t>
            </w:r>
            <w:r>
              <w:rPr>
                <w:rFonts w:hint="eastAsia" w:ascii="宋体" w:hAnsi="宋体" w:eastAsia="宋体" w:cs="宋体"/>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商务</w:t>
            </w:r>
            <w:r>
              <w:rPr>
                <w:rFonts w:hint="eastAsia" w:ascii="宋体" w:hAnsi="宋体" w:eastAsia="宋体" w:cs="宋体"/>
                <w:b w:val="0"/>
                <w:bCs w:val="0"/>
                <w:color w:val="auto"/>
                <w:sz w:val="21"/>
                <w:szCs w:val="21"/>
                <w:highlight w:val="none"/>
              </w:rPr>
              <w:t>部分（</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0分）</w:t>
            </w:r>
          </w:p>
        </w:tc>
        <w:tc>
          <w:tcPr>
            <w:tcW w:w="2140" w:type="dxa"/>
            <w:tcBorders>
              <w:top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资质等级、证书、类似业绩、专业技术人员水平</w:t>
            </w:r>
            <w:r>
              <w:rPr>
                <w:rFonts w:hint="eastAsia" w:ascii="宋体" w:hAnsi="宋体" w:cs="宋体"/>
                <w:i w:val="0"/>
                <w:iCs w:val="0"/>
                <w:color w:val="000000"/>
                <w:kern w:val="0"/>
                <w:sz w:val="21"/>
                <w:szCs w:val="21"/>
                <w:highlight w:val="none"/>
                <w:u w:val="none"/>
                <w:lang w:val="en-US" w:eastAsia="zh-CN" w:bidi="ar"/>
              </w:rPr>
              <w:t>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根据投标人提供相关证书、业绩及人员证件的复印件等资料进行打分。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(20分)</w:t>
            </w:r>
          </w:p>
        </w:tc>
        <w:tc>
          <w:tcPr>
            <w:tcW w:w="2140" w:type="dxa"/>
            <w:noWrap w:val="0"/>
            <w:vAlign w:val="center"/>
          </w:tcPr>
          <w:p>
            <w:pPr>
              <w:pStyle w:val="4"/>
              <w:keepNext w:val="0"/>
              <w:keepLines w:val="0"/>
              <w:pageBreakBefore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服务承诺、保修期</w:t>
            </w:r>
            <w:r>
              <w:rPr>
                <w:rFonts w:hint="eastAsia" w:hAnsi="宋体" w:cs="宋体"/>
                <w:b w:val="0"/>
                <w:bCs w:val="0"/>
                <w:color w:val="auto"/>
                <w:kern w:val="2"/>
                <w:sz w:val="21"/>
                <w:szCs w:val="21"/>
                <w:highlight w:val="none"/>
                <w:lang w:val="en-US" w:eastAsia="zh-CN"/>
              </w:rPr>
              <w:t>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w:t>
            </w:r>
            <w:r>
              <w:rPr>
                <w:rFonts w:hint="eastAsia" w:ascii="宋体" w:hAnsi="宋体" w:eastAsia="宋体" w:cs="宋体"/>
                <w:b w:val="0"/>
                <w:bCs w:val="0"/>
                <w:color w:val="auto"/>
                <w:kern w:val="2"/>
                <w:sz w:val="21"/>
                <w:szCs w:val="21"/>
                <w:highlight w:val="none"/>
              </w:rPr>
              <w:t>服务</w:t>
            </w:r>
            <w:r>
              <w:rPr>
                <w:rFonts w:hint="eastAsia" w:ascii="宋体" w:hAnsi="宋体" w:cs="宋体"/>
                <w:b w:val="0"/>
                <w:bCs w:val="0"/>
                <w:color w:val="auto"/>
                <w:kern w:val="2"/>
                <w:sz w:val="21"/>
                <w:szCs w:val="21"/>
                <w:highlight w:val="none"/>
                <w:lang w:val="en-US" w:eastAsia="zh-CN"/>
              </w:rPr>
              <w:t>承诺</w:t>
            </w:r>
            <w:r>
              <w:rPr>
                <w:rFonts w:hint="eastAsia" w:ascii="宋体" w:hAnsi="宋体" w:cs="宋体"/>
                <w:b w:val="0"/>
                <w:bCs w:val="0"/>
                <w:color w:val="auto"/>
                <w:kern w:val="2"/>
                <w:sz w:val="21"/>
                <w:szCs w:val="21"/>
                <w:highlight w:val="none"/>
                <w:lang w:eastAsia="zh-CN"/>
              </w:rPr>
              <w:t>、</w:t>
            </w:r>
            <w:r>
              <w:rPr>
                <w:rFonts w:hint="eastAsia" w:ascii="宋体" w:hAnsi="宋体" w:cs="宋体"/>
                <w:b w:val="0"/>
                <w:bCs w:val="0"/>
                <w:color w:val="auto"/>
                <w:kern w:val="2"/>
                <w:sz w:val="21"/>
                <w:szCs w:val="21"/>
                <w:highlight w:val="none"/>
                <w:lang w:val="en-US" w:eastAsia="zh-CN"/>
              </w:rPr>
              <w:t>保修期及</w:t>
            </w:r>
            <w:r>
              <w:rPr>
                <w:rFonts w:hint="eastAsia" w:ascii="宋体" w:hAnsi="宋体" w:eastAsia="宋体" w:cs="宋体"/>
                <w:b w:val="0"/>
                <w:bCs w:val="0"/>
                <w:color w:val="auto"/>
                <w:kern w:val="2"/>
                <w:sz w:val="21"/>
                <w:szCs w:val="21"/>
                <w:highlight w:val="none"/>
              </w:rPr>
              <w:t>安全质量保障措施等内容</w:t>
            </w:r>
            <w:r>
              <w:rPr>
                <w:rFonts w:hint="eastAsia" w:ascii="宋体" w:hAnsi="宋体" w:cs="宋体"/>
                <w:b w:val="0"/>
                <w:bCs w:val="0"/>
                <w:color w:val="auto"/>
                <w:kern w:val="2"/>
                <w:sz w:val="21"/>
                <w:szCs w:val="21"/>
                <w:highlight w:val="none"/>
                <w:lang w:val="en-US" w:eastAsia="zh-CN"/>
              </w:rPr>
              <w:t>记性打分。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rPr>
          <w:b/>
          <w:color w:val="auto"/>
          <w:highlight w:val="none"/>
        </w:rPr>
      </w:pPr>
    </w:p>
    <w:bookmarkEnd w:id="39"/>
    <w:p>
      <w:pPr>
        <w:rPr>
          <w:color w:val="auto"/>
          <w:highlight w:val="none"/>
        </w:rPr>
      </w:pPr>
      <w:bookmarkStart w:id="41" w:name="_Toc1947"/>
      <w:bookmarkStart w:id="42" w:name="_Toc1482"/>
      <w:bookmarkStart w:id="43" w:name="_Toc256519703"/>
      <w:bookmarkStart w:id="44" w:name="_Toc326786897"/>
    </w:p>
    <w:p>
      <w:pPr>
        <w:pStyle w:val="2"/>
        <w:snapToGrid w:val="0"/>
        <w:spacing w:before="0" w:after="0" w:line="480" w:lineRule="auto"/>
        <w:jc w:val="center"/>
        <w:rPr>
          <w:color w:val="auto"/>
          <w:sz w:val="28"/>
          <w:szCs w:val="28"/>
          <w:highlight w:val="yellow"/>
        </w:rPr>
      </w:pPr>
      <w:bookmarkStart w:id="45" w:name="_Toc28988"/>
      <w:r>
        <w:rPr>
          <w:rFonts w:hint="eastAsia"/>
          <w:color w:val="auto"/>
          <w:sz w:val="28"/>
          <w:szCs w:val="28"/>
          <w:highlight w:val="none"/>
        </w:rPr>
        <w:t>第五章  采购合同</w:t>
      </w:r>
      <w:bookmarkEnd w:id="45"/>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3"/>
      </w:pPr>
    </w:p>
    <w:p>
      <w:pPr>
        <w:pStyle w:val="2"/>
        <w:jc w:val="center"/>
        <w:rPr>
          <w:rFonts w:ascii="宋体" w:hAnsi="宋体" w:cs="宋体"/>
          <w:color w:val="auto"/>
          <w:kern w:val="0"/>
          <w:highlight w:val="none"/>
        </w:rPr>
      </w:pPr>
      <w:bookmarkStart w:id="46" w:name="_Toc2638"/>
      <w:r>
        <w:rPr>
          <w:rFonts w:hint="eastAsia"/>
          <w:color w:val="auto"/>
          <w:sz w:val="32"/>
          <w:szCs w:val="32"/>
          <w:highlight w:val="none"/>
        </w:rPr>
        <w:t>第六章  投标文件格式</w:t>
      </w:r>
      <w:bookmarkEnd w:id="41"/>
      <w:bookmarkEnd w:id="42"/>
      <w:bookmarkEnd w:id="46"/>
    </w:p>
    <w:p>
      <w:pPr>
        <w:spacing w:line="440" w:lineRule="exact"/>
        <w:rPr>
          <w:color w:val="auto"/>
          <w:sz w:val="24"/>
          <w:highlight w:val="none"/>
        </w:rPr>
      </w:pPr>
    </w:p>
    <w:p>
      <w:pPr>
        <w:jc w:val="center"/>
        <w:rPr>
          <w:b/>
          <w:bCs/>
          <w:color w:val="auto"/>
          <w:sz w:val="32"/>
          <w:szCs w:val="32"/>
          <w:highlight w:val="none"/>
        </w:rPr>
      </w:pPr>
      <w:bookmarkStart w:id="47" w:name="_Toc13604"/>
      <w:r>
        <w:rPr>
          <w:rFonts w:hint="eastAsia"/>
          <w:b/>
          <w:bCs/>
          <w:color w:val="auto"/>
          <w:sz w:val="32"/>
          <w:szCs w:val="32"/>
          <w:highlight w:val="none"/>
        </w:rPr>
        <w:t>目    录</w:t>
      </w:r>
      <w:bookmarkEnd w:id="47"/>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48" w:name="_Toc11308"/>
      <w:r>
        <w:rPr>
          <w:rFonts w:hint="eastAsia"/>
          <w:color w:val="auto"/>
          <w:sz w:val="24"/>
          <w:highlight w:val="none"/>
        </w:rPr>
        <w:t>附件1投标文件封面（格式）</w:t>
      </w:r>
      <w:bookmarkEnd w:id="48"/>
    </w:p>
    <w:p>
      <w:pPr>
        <w:snapToGrid w:val="0"/>
        <w:spacing w:line="360" w:lineRule="auto"/>
        <w:ind w:firstLine="480" w:firstLineChars="200"/>
        <w:rPr>
          <w:color w:val="auto"/>
          <w:sz w:val="24"/>
          <w:highlight w:val="none"/>
        </w:rPr>
      </w:pPr>
      <w:bookmarkStart w:id="49" w:name="_Toc25345"/>
      <w:r>
        <w:rPr>
          <w:rFonts w:hint="eastAsia"/>
          <w:color w:val="auto"/>
          <w:sz w:val="24"/>
          <w:highlight w:val="none"/>
        </w:rPr>
        <w:t>附件2 投标书（格式）</w:t>
      </w:r>
      <w:bookmarkEnd w:id="49"/>
    </w:p>
    <w:p>
      <w:pPr>
        <w:snapToGrid w:val="0"/>
        <w:spacing w:line="360" w:lineRule="auto"/>
        <w:ind w:firstLine="480" w:firstLineChars="200"/>
        <w:rPr>
          <w:color w:val="auto"/>
          <w:sz w:val="24"/>
          <w:highlight w:val="none"/>
        </w:rPr>
      </w:pPr>
      <w:bookmarkStart w:id="50" w:name="_Toc10217"/>
      <w:r>
        <w:rPr>
          <w:rFonts w:hint="eastAsia"/>
          <w:color w:val="auto"/>
          <w:sz w:val="24"/>
          <w:highlight w:val="none"/>
        </w:rPr>
        <w:t>附件3 开标一览表（格式）</w:t>
      </w:r>
      <w:bookmarkEnd w:id="50"/>
    </w:p>
    <w:p>
      <w:pPr>
        <w:snapToGrid w:val="0"/>
        <w:spacing w:line="360" w:lineRule="auto"/>
        <w:ind w:firstLine="480" w:firstLineChars="200"/>
        <w:rPr>
          <w:color w:val="auto"/>
          <w:sz w:val="24"/>
          <w:highlight w:val="none"/>
        </w:rPr>
      </w:pPr>
      <w:bookmarkStart w:id="51" w:name="_Toc9579"/>
      <w:r>
        <w:rPr>
          <w:rFonts w:hint="eastAsia"/>
          <w:color w:val="auto"/>
          <w:sz w:val="24"/>
          <w:highlight w:val="none"/>
        </w:rPr>
        <w:t xml:space="preserve">附件4 </w:t>
      </w:r>
      <w:bookmarkEnd w:id="51"/>
      <w:r>
        <w:rPr>
          <w:rFonts w:hint="eastAsia"/>
          <w:color w:val="auto"/>
          <w:sz w:val="24"/>
          <w:highlight w:val="none"/>
        </w:rPr>
        <w:t>法定代表人身份证明（格式）</w:t>
      </w:r>
    </w:p>
    <w:p>
      <w:pPr>
        <w:snapToGrid w:val="0"/>
        <w:spacing w:line="360" w:lineRule="auto"/>
        <w:ind w:firstLine="480" w:firstLineChars="200"/>
        <w:rPr>
          <w:color w:val="auto"/>
          <w:sz w:val="24"/>
          <w:highlight w:val="none"/>
        </w:rPr>
      </w:pPr>
      <w:bookmarkStart w:id="52" w:name="_Toc28392"/>
      <w:r>
        <w:rPr>
          <w:rFonts w:hint="eastAsia"/>
          <w:color w:val="auto"/>
          <w:sz w:val="24"/>
          <w:highlight w:val="none"/>
        </w:rPr>
        <w:t>附件5</w:t>
      </w:r>
      <w:bookmarkEnd w:id="52"/>
      <w:r>
        <w:rPr>
          <w:rFonts w:hint="eastAsia"/>
          <w:color w:val="auto"/>
          <w:sz w:val="24"/>
          <w:highlight w:val="none"/>
          <w:lang w:val="en-US" w:eastAsia="zh-CN"/>
        </w:rPr>
        <w:t xml:space="preserve"> </w:t>
      </w:r>
      <w:r>
        <w:rPr>
          <w:rFonts w:hint="eastAsia"/>
          <w:color w:val="auto"/>
          <w:sz w:val="24"/>
          <w:highlight w:val="none"/>
        </w:rPr>
        <w:t>法定代表人授权书（格式）</w:t>
      </w:r>
    </w:p>
    <w:p>
      <w:pPr>
        <w:snapToGrid w:val="0"/>
        <w:spacing w:line="360" w:lineRule="auto"/>
        <w:ind w:firstLine="480" w:firstLineChars="200"/>
        <w:rPr>
          <w:color w:val="auto"/>
          <w:sz w:val="24"/>
          <w:highlight w:val="none"/>
        </w:rPr>
      </w:pPr>
      <w:bookmarkStart w:id="53" w:name="_Toc6234"/>
      <w:r>
        <w:rPr>
          <w:rFonts w:hint="eastAsia"/>
          <w:color w:val="auto"/>
          <w:sz w:val="24"/>
          <w:highlight w:val="none"/>
        </w:rPr>
        <w:t xml:space="preserve">附件6 </w:t>
      </w:r>
      <w:bookmarkEnd w:id="53"/>
      <w:r>
        <w:rPr>
          <w:rFonts w:hint="eastAsia" w:ascii="宋体" w:hAnsi="宋体" w:eastAsia="宋体" w:cs="宋体"/>
          <w:kern w:val="0"/>
          <w:sz w:val="21"/>
          <w:szCs w:val="21"/>
          <w:highlight w:val="none"/>
        </w:rPr>
        <w:t>已标价的工程量清单</w:t>
      </w:r>
    </w:p>
    <w:p>
      <w:pPr>
        <w:snapToGrid w:val="0"/>
        <w:spacing w:line="360" w:lineRule="auto"/>
        <w:ind w:firstLine="480" w:firstLineChars="200"/>
        <w:rPr>
          <w:color w:val="auto"/>
          <w:sz w:val="24"/>
          <w:highlight w:val="none"/>
        </w:rPr>
      </w:pPr>
      <w:bookmarkStart w:id="54" w:name="_Toc26231"/>
      <w:r>
        <w:rPr>
          <w:rFonts w:hint="eastAsia"/>
          <w:color w:val="auto"/>
          <w:sz w:val="24"/>
          <w:highlight w:val="none"/>
        </w:rPr>
        <w:t>附件7</w:t>
      </w:r>
      <w:r>
        <w:rPr>
          <w:rFonts w:hint="eastAsia"/>
          <w:color w:val="auto"/>
          <w:sz w:val="24"/>
          <w:highlight w:val="none"/>
          <w:lang w:val="en-US" w:eastAsia="zh-CN"/>
        </w:rPr>
        <w:t xml:space="preserve"> </w:t>
      </w:r>
      <w:bookmarkEnd w:id="54"/>
      <w:r>
        <w:rPr>
          <w:rFonts w:hint="eastAsia"/>
          <w:color w:val="auto"/>
          <w:sz w:val="24"/>
          <w:highlight w:val="none"/>
        </w:rPr>
        <w:t>证明文件</w:t>
      </w:r>
    </w:p>
    <w:p>
      <w:pPr>
        <w:snapToGrid w:val="0"/>
        <w:spacing w:line="360" w:lineRule="auto"/>
        <w:ind w:firstLine="480" w:firstLineChars="200"/>
        <w:rPr>
          <w:color w:val="auto"/>
          <w:sz w:val="24"/>
          <w:highlight w:val="none"/>
        </w:rPr>
      </w:pPr>
      <w:bookmarkStart w:id="55" w:name="_Toc18484"/>
      <w:r>
        <w:rPr>
          <w:rFonts w:hint="eastAsia"/>
          <w:color w:val="auto"/>
          <w:sz w:val="24"/>
          <w:highlight w:val="none"/>
        </w:rPr>
        <w:t>附件8</w:t>
      </w:r>
      <w:r>
        <w:rPr>
          <w:rFonts w:hint="eastAsia"/>
          <w:color w:val="auto"/>
          <w:sz w:val="24"/>
          <w:highlight w:val="none"/>
          <w:lang w:val="en-US" w:eastAsia="zh-CN"/>
        </w:rPr>
        <w:t xml:space="preserve"> </w:t>
      </w:r>
      <w:bookmarkEnd w:id="55"/>
      <w:r>
        <w:rPr>
          <w:rFonts w:hint="eastAsia"/>
          <w:color w:val="auto"/>
          <w:sz w:val="24"/>
          <w:highlight w:val="none"/>
        </w:rPr>
        <w:t>供应商承诺书（格式）</w:t>
      </w:r>
    </w:p>
    <w:p>
      <w:pPr>
        <w:snapToGrid w:val="0"/>
        <w:spacing w:line="360" w:lineRule="auto"/>
        <w:ind w:firstLine="480" w:firstLineChars="200"/>
        <w:rPr>
          <w:color w:val="auto"/>
          <w:sz w:val="24"/>
          <w:highlight w:val="none"/>
        </w:rPr>
      </w:pPr>
      <w:bookmarkStart w:id="56" w:name="_Toc31857"/>
      <w:r>
        <w:rPr>
          <w:rFonts w:hint="eastAsia"/>
          <w:color w:val="auto"/>
          <w:sz w:val="24"/>
          <w:highlight w:val="none"/>
        </w:rPr>
        <w:t xml:space="preserve">附件9 </w:t>
      </w:r>
      <w:bookmarkEnd w:id="56"/>
      <w:r>
        <w:rPr>
          <w:rFonts w:hint="eastAsia"/>
          <w:color w:val="auto"/>
          <w:sz w:val="24"/>
          <w:highlight w:val="none"/>
        </w:rPr>
        <w:t>采购项目承诺书</w:t>
      </w: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4"/>
        <w:rPr>
          <w:rFonts w:hAnsi="宋体"/>
          <w:b/>
          <w:bCs/>
          <w:color w:val="auto"/>
          <w:highlight w:val="none"/>
        </w:rPr>
      </w:pPr>
    </w:p>
    <w:p>
      <w:pPr>
        <w:pStyle w:val="4"/>
        <w:rPr>
          <w:rFonts w:hAnsi="宋体"/>
          <w:b/>
          <w:bCs/>
          <w:color w:val="auto"/>
          <w:highlight w:val="none"/>
        </w:rPr>
      </w:pPr>
    </w:p>
    <w:p>
      <w:pPr>
        <w:rPr>
          <w:color w:val="auto"/>
          <w:highlight w:val="none"/>
        </w:rPr>
      </w:pPr>
      <w:r>
        <w:rPr>
          <w:rFonts w:hint="eastAsia"/>
          <w:color w:val="auto"/>
          <w:highlight w:val="none"/>
        </w:rPr>
        <w:br w:type="page"/>
      </w:r>
    </w:p>
    <w:p>
      <w:pPr>
        <w:pStyle w:val="28"/>
        <w:rPr>
          <w:color w:val="auto"/>
          <w:highlight w:val="none"/>
        </w:rPr>
      </w:pPr>
    </w:p>
    <w:p>
      <w:pPr>
        <w:pStyle w:val="10"/>
        <w:rPr>
          <w:color w:val="auto"/>
          <w:highlight w:val="none"/>
        </w:rPr>
      </w:pPr>
      <w:bookmarkStart w:id="57" w:name="_Toc24743"/>
      <w:bookmarkStart w:id="58" w:name="_Toc31798"/>
      <w:r>
        <w:rPr>
          <w:rFonts w:hint="eastAsia"/>
          <w:color w:val="auto"/>
          <w:highlight w:val="none"/>
        </w:rPr>
        <w:t>附件1               投标文件封面（格式）</w:t>
      </w:r>
      <w:bookmarkEnd w:id="57"/>
      <w:bookmarkEnd w:id="58"/>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
        <w:spacing w:line="360" w:lineRule="auto"/>
        <w:rPr>
          <w:rFonts w:hint="eastAsia" w:ascii="宋体" w:hAnsi="宋体" w:eastAsia="宋体" w:cs="宋体"/>
          <w:color w:val="auto"/>
          <w:highlight w:val="none"/>
        </w:rPr>
      </w:pPr>
    </w:p>
    <w:p>
      <w:pPr>
        <w:pStyle w:val="4"/>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10"/>
        <w:rPr>
          <w:color w:val="auto"/>
          <w:highlight w:val="none"/>
        </w:rPr>
      </w:pPr>
      <w:bookmarkStart w:id="59" w:name="_Toc14560"/>
      <w:bookmarkStart w:id="60" w:name="_Toc8818"/>
      <w:r>
        <w:rPr>
          <w:rFonts w:hint="eastAsia"/>
          <w:color w:val="auto"/>
          <w:highlight w:val="none"/>
        </w:rPr>
        <w:t>附件2               投  标  书（格式）</w:t>
      </w:r>
      <w:bookmarkEnd w:id="59"/>
      <w:bookmarkEnd w:id="60"/>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eastAsia="宋体" w:cs="宋体"/>
          <w:kern w:val="0"/>
          <w:sz w:val="21"/>
          <w:szCs w:val="21"/>
          <w:highlight w:val="none"/>
        </w:rPr>
        <w:t>已标价的工程量清单</w:t>
      </w:r>
      <w:r>
        <w:rPr>
          <w:rFonts w:hint="eastAsia" w:ascii="宋体" w:hAnsi="宋体" w:cs="宋体"/>
          <w:color w:val="auto"/>
          <w:kern w:val="0"/>
          <w:szCs w:val="21"/>
          <w:highlight w:val="none"/>
        </w:rPr>
        <w:t>。</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10"/>
        <w:spacing w:before="20" w:after="20"/>
        <w:rPr>
          <w:color w:val="auto"/>
          <w:highlight w:val="none"/>
        </w:rPr>
      </w:pPr>
      <w:bookmarkStart w:id="61" w:name="_Toc7838"/>
      <w:r>
        <w:rPr>
          <w:rFonts w:hint="eastAsia"/>
          <w:color w:val="auto"/>
          <w:highlight w:val="none"/>
        </w:rPr>
        <w:t>附件3               开标一览表</w:t>
      </w:r>
      <w:bookmarkEnd w:id="61"/>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4"/>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        元</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元（详见已标价工程量清单）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autoSpaceDE w:val="0"/>
              <w:autoSpaceDN w:val="0"/>
              <w:jc w:val="center"/>
              <w:rPr>
                <w:rFonts w:hint="default" w:ascii="宋体" w:hAnsi="宋体" w:eastAsia="宋体"/>
                <w:color w:val="auto"/>
                <w:szCs w:val="21"/>
                <w:highlight w:val="none"/>
                <w:lang w:val="en-US" w:eastAsia="zh-CN"/>
              </w:rPr>
            </w:pPr>
            <w:r>
              <w:rPr>
                <w:rFonts w:hint="eastAsia" w:ascii="宋体" w:hAnsi="宋体" w:eastAsia="宋体" w:cs="宋体"/>
                <w:sz w:val="21"/>
                <w:szCs w:val="21"/>
              </w:rPr>
              <w:t>工期</w:t>
            </w:r>
          </w:p>
        </w:tc>
        <w:tc>
          <w:tcPr>
            <w:tcW w:w="7708" w:type="dxa"/>
            <w:noWrap/>
            <w:vAlign w:val="center"/>
          </w:tcPr>
          <w:p>
            <w:pPr>
              <w:autoSpaceDE w:val="0"/>
              <w:autoSpaceDN w:val="0"/>
              <w:jc w:val="left"/>
              <w:rPr>
                <w:rFonts w:ascii="宋体" w:hAnsi="宋体"/>
                <w:color w:val="auto"/>
                <w:szCs w:val="21"/>
                <w:highlight w:val="none"/>
              </w:rPr>
            </w:pPr>
            <w:r>
              <w:rPr>
                <w:rFonts w:hint="eastAsia" w:ascii="宋体" w:hAnsi="宋体" w:eastAsia="宋体" w:cs="宋体"/>
                <w:sz w:val="21"/>
                <w:szCs w:val="21"/>
              </w:rPr>
              <w:t>合同签订后</w:t>
            </w:r>
            <w:r>
              <w:rPr>
                <w:rFonts w:hint="eastAsia" w:ascii="宋体" w:hAnsi="宋体" w:eastAsia="宋体" w:cs="宋体"/>
                <w:sz w:val="21"/>
                <w:szCs w:val="21"/>
                <w:u w:val="single"/>
              </w:rPr>
              <w:t xml:space="preserve">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autoSpaceDE w:val="0"/>
              <w:autoSpaceDN w:val="0"/>
              <w:jc w:val="center"/>
              <w:rPr>
                <w:rFonts w:ascii="宋体" w:hAnsi="宋体"/>
                <w:color w:val="auto"/>
                <w:szCs w:val="21"/>
                <w:highlight w:val="none"/>
              </w:rPr>
            </w:pPr>
            <w:r>
              <w:rPr>
                <w:rFonts w:hint="eastAsia" w:ascii="宋体" w:hAnsi="宋体" w:eastAsia="宋体" w:cs="宋体"/>
                <w:sz w:val="21"/>
                <w:szCs w:val="21"/>
              </w:rPr>
              <w:t>质量</w:t>
            </w:r>
          </w:p>
        </w:tc>
        <w:tc>
          <w:tcPr>
            <w:tcW w:w="7708" w:type="dxa"/>
            <w:noWrap/>
            <w:vAlign w:val="top"/>
          </w:tcPr>
          <w:p>
            <w:pPr>
              <w:autoSpaceDE w:val="0"/>
              <w:autoSpaceDN w:val="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22"/>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2" w:name="_Toc11620"/>
      <w:bookmarkStart w:id="63" w:name="_Toc20877"/>
      <w:r>
        <w:rPr>
          <w:rFonts w:hint="eastAsia" w:ascii="宋体" w:hAnsi="宋体"/>
          <w:color w:val="auto"/>
          <w:szCs w:val="21"/>
          <w:highlight w:val="none"/>
        </w:rPr>
        <w:t>投标人（全称并加盖公章）：</w:t>
      </w:r>
      <w:bookmarkEnd w:id="62"/>
      <w:bookmarkEnd w:id="63"/>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64" w:name="_Toc625"/>
      <w:bookmarkStart w:id="65" w:name="_Toc12222"/>
      <w:r>
        <w:rPr>
          <w:rFonts w:hint="eastAsia" w:ascii="宋体" w:hAnsi="宋体"/>
          <w:color w:val="auto"/>
          <w:szCs w:val="21"/>
          <w:highlight w:val="none"/>
        </w:rPr>
        <w:t>法定代表人或其委托代理人（签字）：</w:t>
      </w:r>
      <w:bookmarkEnd w:id="64"/>
      <w:bookmarkEnd w:id="65"/>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66" w:name="_Toc9950"/>
      <w:bookmarkStart w:id="67" w:name="_Toc1330"/>
      <w:r>
        <w:rPr>
          <w:rFonts w:hint="eastAsia" w:ascii="宋体" w:hAnsi="宋体"/>
          <w:color w:val="auto"/>
          <w:szCs w:val="21"/>
          <w:highlight w:val="none"/>
        </w:rPr>
        <w:t>年  月  日</w:t>
      </w:r>
      <w:bookmarkEnd w:id="66"/>
      <w:bookmarkEnd w:id="67"/>
    </w:p>
    <w:p>
      <w:pPr>
        <w:rPr>
          <w:color w:val="auto"/>
          <w:highlight w:val="none"/>
        </w:rPr>
      </w:pPr>
      <w:r>
        <w:rPr>
          <w:color w:val="auto"/>
          <w:highlight w:val="none"/>
        </w:rPr>
        <w:br w:type="page"/>
      </w:r>
    </w:p>
    <w:bookmarkEnd w:id="43"/>
    <w:bookmarkEnd w:id="44"/>
    <w:p>
      <w:pPr>
        <w:pStyle w:val="33"/>
        <w:ind w:left="0" w:leftChars="0" w:firstLine="0" w:firstLineChars="0"/>
      </w:pPr>
    </w:p>
    <w:p>
      <w:pPr>
        <w:widowControl/>
        <w:wordWrap w:val="0"/>
        <w:spacing w:line="460" w:lineRule="exact"/>
        <w:jc w:val="left"/>
        <w:outlineLvl w:val="0"/>
        <w:rPr>
          <w:rFonts w:ascii="Arial" w:hAnsi="Arial" w:eastAsia="新宋体"/>
          <w:b/>
          <w:color w:val="auto"/>
          <w:sz w:val="28"/>
          <w:highlight w:val="none"/>
        </w:rPr>
      </w:pPr>
      <w:bookmarkStart w:id="68" w:name="_Toc31526"/>
      <w:bookmarkStart w:id="69" w:name="_Toc28621"/>
      <w:r>
        <w:rPr>
          <w:rFonts w:hint="eastAsia" w:ascii="Arial" w:hAnsi="Arial" w:eastAsia="新宋体"/>
          <w:b/>
          <w:color w:val="auto"/>
          <w:sz w:val="28"/>
          <w:highlight w:val="none"/>
        </w:rPr>
        <w:t>附件</w:t>
      </w:r>
      <w:r>
        <w:rPr>
          <w:rFonts w:hint="eastAsia" w:ascii="Arial" w:hAnsi="Arial" w:eastAsia="新宋体"/>
          <w:b/>
          <w:color w:val="auto"/>
          <w:sz w:val="28"/>
          <w:highlight w:val="none"/>
          <w:lang w:val="en-US" w:eastAsia="zh-CN"/>
        </w:rPr>
        <w:t>4</w:t>
      </w:r>
      <w:r>
        <w:rPr>
          <w:rFonts w:hint="eastAsia" w:ascii="Arial" w:hAnsi="Arial" w:eastAsia="新宋体"/>
          <w:b/>
          <w:color w:val="auto"/>
          <w:sz w:val="28"/>
          <w:highlight w:val="none"/>
        </w:rPr>
        <w:t xml:space="preserve">               法定代表人身份证明（格式）</w:t>
      </w:r>
      <w:bookmarkEnd w:id="68"/>
      <w:bookmarkEnd w:id="69"/>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4"/>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1"/>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70" w:name="_Toc30519"/>
      <w:bookmarkStart w:id="71" w:name="_Toc13976"/>
      <w:r>
        <w:rPr>
          <w:rFonts w:hint="eastAsia" w:ascii="Arial" w:hAnsi="Arial" w:eastAsia="新宋体"/>
          <w:b/>
          <w:color w:val="auto"/>
          <w:sz w:val="28"/>
          <w:highlight w:val="none"/>
        </w:rPr>
        <w:t>附件</w:t>
      </w:r>
      <w:r>
        <w:rPr>
          <w:rFonts w:hint="eastAsia" w:ascii="Arial" w:hAnsi="Arial" w:eastAsia="新宋体"/>
          <w:b/>
          <w:color w:val="auto"/>
          <w:sz w:val="28"/>
          <w:highlight w:val="none"/>
          <w:lang w:val="en-US" w:eastAsia="zh-CN"/>
        </w:rPr>
        <w:t>5</w:t>
      </w:r>
      <w:r>
        <w:rPr>
          <w:rFonts w:hint="eastAsia" w:ascii="Arial" w:hAnsi="Arial" w:eastAsia="新宋体"/>
          <w:b/>
          <w:color w:val="auto"/>
          <w:sz w:val="28"/>
          <w:highlight w:val="none"/>
        </w:rPr>
        <w:t xml:space="preserve">               法定代表人授权书（格式）</w:t>
      </w:r>
      <w:bookmarkEnd w:id="70"/>
      <w:bookmarkEnd w:id="71"/>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4"/>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hint="default" w:ascii="宋体" w:hAnsi="宋体" w:eastAsia="新宋体" w:cs="宋体"/>
          <w:b/>
          <w:color w:val="auto"/>
          <w:kern w:val="0"/>
          <w:sz w:val="24"/>
          <w:highlight w:val="none"/>
          <w:lang w:val="en-US" w:eastAsia="zh-CN"/>
        </w:rPr>
      </w:pPr>
      <w:r>
        <w:rPr>
          <w:rFonts w:hint="eastAsia" w:ascii="Arial" w:hAnsi="Arial" w:eastAsia="新宋体"/>
          <w:b/>
          <w:color w:val="auto"/>
          <w:sz w:val="28"/>
          <w:highlight w:val="none"/>
        </w:rPr>
        <w:t>附件</w:t>
      </w:r>
      <w:r>
        <w:rPr>
          <w:rFonts w:hint="eastAsia" w:ascii="Arial" w:hAnsi="Arial" w:eastAsia="新宋体"/>
          <w:b/>
          <w:color w:val="auto"/>
          <w:sz w:val="28"/>
          <w:highlight w:val="none"/>
          <w:lang w:val="en-US" w:eastAsia="zh-CN"/>
        </w:rPr>
        <w:t>6</w:t>
      </w:r>
      <w:r>
        <w:rPr>
          <w:rFonts w:hint="eastAsia" w:ascii="Arial" w:hAnsi="Arial" w:eastAsia="新宋体"/>
          <w:b/>
          <w:color w:val="auto"/>
          <w:sz w:val="28"/>
          <w:highlight w:val="none"/>
        </w:rPr>
        <w:t xml:space="preserve">        </w:t>
      </w:r>
      <w:r>
        <w:rPr>
          <w:rFonts w:hint="eastAsia" w:ascii="Arial" w:hAnsi="Arial" w:eastAsia="新宋体"/>
          <w:b/>
          <w:color w:val="auto"/>
          <w:sz w:val="28"/>
          <w:highlight w:val="none"/>
          <w:lang w:val="en-US" w:eastAsia="zh-CN"/>
        </w:rPr>
        <w:t xml:space="preserve">  </w:t>
      </w:r>
      <w:r>
        <w:rPr>
          <w:rFonts w:hint="eastAsia" w:ascii="Arial" w:hAnsi="Arial" w:eastAsia="新宋体"/>
          <w:b/>
          <w:color w:val="auto"/>
          <w:sz w:val="28"/>
          <w:highlight w:val="none"/>
        </w:rPr>
        <w:t xml:space="preserve">       </w:t>
      </w:r>
      <w:r>
        <w:rPr>
          <w:rFonts w:hint="eastAsia" w:ascii="Arial" w:hAnsi="Arial" w:eastAsia="新宋体"/>
          <w:b/>
          <w:color w:val="auto"/>
          <w:sz w:val="28"/>
          <w:highlight w:val="none"/>
          <w:lang w:val="en-US" w:eastAsia="zh-CN"/>
        </w:rPr>
        <w:t>已标价的报价清单</w:t>
      </w:r>
    </w:p>
    <w:p>
      <w:pPr>
        <w:pStyle w:val="4"/>
        <w:rPr>
          <w:rFonts w:ascii="宋体" w:hAnsi="宋体" w:cs="宋体"/>
          <w:b/>
          <w:color w:val="auto"/>
          <w:kern w:val="0"/>
          <w:sz w:val="24"/>
          <w:highlight w:val="none"/>
        </w:rPr>
      </w:pPr>
    </w:p>
    <w:p>
      <w:pPr>
        <w:pStyle w:val="5"/>
        <w:rPr>
          <w:rFonts w:ascii="宋体" w:hAnsi="宋体" w:cs="宋体"/>
          <w:b/>
          <w:color w:val="auto"/>
          <w:kern w:val="0"/>
          <w:sz w:val="24"/>
          <w:highlight w:val="none"/>
        </w:rPr>
      </w:pPr>
    </w:p>
    <w:p>
      <w:pPr>
        <w:pStyle w:val="6"/>
        <w:rPr>
          <w:rFonts w:ascii="宋体" w:hAnsi="宋体" w:cs="宋体"/>
          <w:b/>
          <w:color w:val="auto"/>
          <w:kern w:val="0"/>
          <w:sz w:val="24"/>
          <w:highlight w:val="none"/>
        </w:rPr>
      </w:pPr>
    </w:p>
    <w:p>
      <w:pPr>
        <w:pStyle w:val="4"/>
        <w:rPr>
          <w:rFonts w:ascii="宋体" w:hAnsi="宋体" w:cs="宋体"/>
          <w:b/>
          <w:color w:val="auto"/>
          <w:kern w:val="0"/>
          <w:sz w:val="24"/>
          <w:highlight w:val="none"/>
        </w:rPr>
      </w:pPr>
    </w:p>
    <w:p>
      <w:pPr>
        <w:pStyle w:val="5"/>
        <w:rPr>
          <w:rFonts w:ascii="宋体" w:hAnsi="宋体" w:cs="宋体"/>
          <w:b/>
          <w:color w:val="auto"/>
          <w:kern w:val="0"/>
          <w:sz w:val="24"/>
          <w:highlight w:val="none"/>
        </w:rPr>
      </w:pPr>
    </w:p>
    <w:p>
      <w:pPr>
        <w:pStyle w:val="6"/>
        <w:rPr>
          <w:rFonts w:ascii="宋体" w:hAnsi="宋体" w:cs="宋体"/>
          <w:b/>
          <w:color w:val="auto"/>
          <w:kern w:val="0"/>
          <w:sz w:val="24"/>
          <w:highlight w:val="none"/>
        </w:rPr>
      </w:pPr>
    </w:p>
    <w:p>
      <w:pPr>
        <w:pStyle w:val="9"/>
        <w:rPr>
          <w:rFonts w:ascii="宋体" w:hAnsi="宋体" w:cs="宋体"/>
          <w:b/>
          <w:color w:val="auto"/>
          <w:kern w:val="0"/>
          <w:sz w:val="24"/>
          <w:highlight w:val="none"/>
        </w:rPr>
      </w:pPr>
    </w:p>
    <w:p>
      <w:pPr>
        <w:rPr>
          <w:rFonts w:ascii="宋体" w:hAnsi="宋体" w:cs="宋体"/>
          <w:b/>
          <w:color w:val="auto"/>
          <w:kern w:val="0"/>
          <w:sz w:val="24"/>
          <w:highlight w:val="none"/>
        </w:rPr>
      </w:pPr>
    </w:p>
    <w:p>
      <w:pPr>
        <w:pStyle w:val="4"/>
      </w:pPr>
    </w:p>
    <w:p>
      <w:pPr>
        <w:widowControl/>
        <w:snapToGrid w:val="0"/>
        <w:spacing w:before="156" w:after="156" w:line="360" w:lineRule="auto"/>
        <w:jc w:val="left"/>
        <w:outlineLvl w:val="0"/>
        <w:rPr>
          <w:rFonts w:ascii="宋体" w:hAnsi="宋体" w:cs="宋体"/>
          <w:b/>
          <w:color w:val="auto"/>
          <w:kern w:val="0"/>
          <w:sz w:val="24"/>
          <w:highlight w:val="none"/>
        </w:rPr>
      </w:pPr>
      <w:bookmarkStart w:id="72" w:name="_Toc18105"/>
      <w:bookmarkStart w:id="73" w:name="_Toc24693"/>
      <w:r>
        <w:rPr>
          <w:rFonts w:hint="eastAsia" w:ascii="Arial" w:hAnsi="Arial" w:eastAsia="新宋体"/>
          <w:b/>
          <w:color w:val="auto"/>
          <w:sz w:val="28"/>
          <w:highlight w:val="none"/>
        </w:rPr>
        <w:t>附件</w:t>
      </w:r>
      <w:r>
        <w:rPr>
          <w:rFonts w:hint="eastAsia" w:ascii="Arial" w:hAnsi="Arial" w:eastAsia="新宋体"/>
          <w:b/>
          <w:color w:val="auto"/>
          <w:sz w:val="28"/>
          <w:highlight w:val="none"/>
          <w:lang w:val="en-US" w:eastAsia="zh-CN"/>
        </w:rPr>
        <w:t>7</w:t>
      </w:r>
      <w:r>
        <w:rPr>
          <w:rFonts w:hint="eastAsia" w:ascii="Arial" w:hAnsi="Arial" w:eastAsia="新宋体"/>
          <w:b/>
          <w:color w:val="auto"/>
          <w:sz w:val="28"/>
          <w:highlight w:val="none"/>
        </w:rPr>
        <w:t xml:space="preserve">               证明文件</w:t>
      </w:r>
      <w:bookmarkEnd w:id="72"/>
      <w:bookmarkEnd w:id="73"/>
    </w:p>
    <w:p>
      <w:pPr>
        <w:pStyle w:val="14"/>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14"/>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14"/>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74" w:name="_Toc17966"/>
    </w:p>
    <w:p>
      <w:pPr>
        <w:pStyle w:val="14"/>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14"/>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14"/>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75" w:name="_Toc13726"/>
      <w:bookmarkStart w:id="76" w:name="_Toc12888"/>
      <w:r>
        <w:rPr>
          <w:rFonts w:hint="eastAsia" w:ascii="宋体" w:hAnsi="宋体" w:cs="Lucida Sans Unicode"/>
          <w:b/>
          <w:color w:val="auto"/>
          <w:kern w:val="0"/>
          <w:sz w:val="28"/>
          <w:szCs w:val="28"/>
          <w:highlight w:val="none"/>
        </w:rPr>
        <w:t>附件</w:t>
      </w:r>
      <w:r>
        <w:rPr>
          <w:rFonts w:hint="eastAsia" w:ascii="宋体" w:hAnsi="宋体" w:cs="Lucida Sans Unicode"/>
          <w:b/>
          <w:color w:val="auto"/>
          <w:kern w:val="0"/>
          <w:sz w:val="28"/>
          <w:szCs w:val="28"/>
          <w:highlight w:val="none"/>
          <w:lang w:val="en-US" w:eastAsia="zh-CN"/>
        </w:rPr>
        <w:t>8</w:t>
      </w:r>
      <w:r>
        <w:rPr>
          <w:rFonts w:hint="eastAsia" w:ascii="宋体" w:hAnsi="宋体" w:cs="Lucida Sans Unicode"/>
          <w:b/>
          <w:color w:val="auto"/>
          <w:kern w:val="0"/>
          <w:sz w:val="28"/>
          <w:szCs w:val="28"/>
          <w:highlight w:val="none"/>
        </w:rPr>
        <w:t xml:space="preserve">       </w:t>
      </w:r>
      <w:bookmarkEnd w:id="74"/>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75"/>
      <w:bookmarkEnd w:id="76"/>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bidi w:val="0"/>
        <w:rPr>
          <w:rFonts w:hint="eastAsia"/>
          <w:lang w:val="en-US" w:eastAsia="zh-CN"/>
        </w:rPr>
      </w:pPr>
    </w:p>
    <w:p>
      <w:pPr>
        <w:widowControl/>
        <w:snapToGrid w:val="0"/>
        <w:spacing w:line="360" w:lineRule="auto"/>
        <w:jc w:val="left"/>
        <w:outlineLvl w:val="0"/>
        <w:rPr>
          <w:rFonts w:hint="eastAsia" w:ascii="宋体" w:hAnsi="宋体" w:cs="Lucida Sans Unicode"/>
          <w:b/>
          <w:color w:val="auto"/>
          <w:kern w:val="0"/>
          <w:sz w:val="24"/>
          <w:highlight w:val="none"/>
        </w:rPr>
      </w:pPr>
      <w:r>
        <w:rPr>
          <w:rFonts w:hint="eastAsia" w:ascii="宋体" w:hAnsi="宋体" w:cs="Lucida Sans Unicode"/>
          <w:b/>
          <w:color w:val="auto"/>
          <w:kern w:val="0"/>
          <w:sz w:val="24"/>
          <w:highlight w:val="none"/>
          <w:lang w:val="en-US" w:eastAsia="zh-CN"/>
        </w:rPr>
        <w:t xml:space="preserve">附件9                        </w:t>
      </w:r>
      <w:r>
        <w:rPr>
          <w:rFonts w:hint="eastAsia" w:ascii="宋体" w:hAnsi="宋体" w:cs="Lucida Sans Unicode"/>
          <w:b/>
          <w:color w:val="auto"/>
          <w:kern w:val="0"/>
          <w:sz w:val="24"/>
          <w:highlight w:val="none"/>
        </w:rPr>
        <w:t>采购项目承诺书</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致：（采购人）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本承诺书作为我方参加</w:t>
      </w:r>
      <w:r>
        <w:rPr>
          <w:rFonts w:hint="eastAsia" w:ascii="宋体" w:hAnsi="宋体" w:eastAsia="宋体" w:cs="宋体"/>
          <w:color w:val="auto"/>
          <w:highlight w:val="none"/>
          <w:lang w:eastAsia="zh-CN"/>
        </w:rPr>
        <w:t>本次招标</w:t>
      </w:r>
      <w:r>
        <w:rPr>
          <w:rFonts w:hint="eastAsia" w:ascii="宋体" w:hAnsi="宋体" w:eastAsia="宋体" w:cs="宋体"/>
          <w:color w:val="auto"/>
          <w:highlight w:val="none"/>
        </w:rPr>
        <w:t>采购项目投标文件不可分割的一部分。我方参加本次投标特郑重做出如下承诺：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1、我方承诺已经具备</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文件中规定的供应商应当具备的条件。我方愿意向贵方提供任何与本竞争性</w:t>
      </w:r>
      <w:r>
        <w:rPr>
          <w:rFonts w:hint="eastAsia" w:ascii="宋体" w:hAnsi="宋体" w:cs="宋体"/>
          <w:color w:val="auto"/>
          <w:highlight w:val="none"/>
          <w:lang w:val="en-US" w:eastAsia="zh-CN"/>
        </w:rPr>
        <w:t>磋商采购</w:t>
      </w:r>
      <w:r>
        <w:rPr>
          <w:rFonts w:hint="eastAsia" w:ascii="宋体" w:hAnsi="宋体" w:eastAsia="宋体" w:cs="宋体"/>
          <w:color w:val="auto"/>
          <w:highlight w:val="none"/>
        </w:rPr>
        <w:t>项目有关的数据、情况和技术资料，并根据需要提供一切承诺的证明材料，并保证其真实、合法、有效。</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2、我方承诺在竞争性</w:t>
      </w:r>
      <w:r>
        <w:rPr>
          <w:rFonts w:hint="eastAsia" w:ascii="宋体" w:hAnsi="宋体" w:cs="宋体"/>
          <w:color w:val="auto"/>
          <w:highlight w:val="none"/>
          <w:lang w:val="en-US" w:eastAsia="zh-CN"/>
        </w:rPr>
        <w:t>磋商</w:t>
      </w:r>
      <w:r>
        <w:rPr>
          <w:rFonts w:hint="eastAsia" w:ascii="宋体" w:hAnsi="宋体" w:eastAsia="宋体" w:cs="宋体"/>
          <w:color w:val="auto"/>
          <w:highlight w:val="none"/>
        </w:rPr>
        <w:t>谈判活动中提供的各种材料真实有效。</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3、我方同意在</w:t>
      </w:r>
      <w:r>
        <w:rPr>
          <w:rFonts w:hint="eastAsia" w:ascii="宋体" w:hAnsi="宋体" w:cs="宋体"/>
          <w:color w:val="auto"/>
          <w:highlight w:val="none"/>
          <w:lang w:val="en-US" w:eastAsia="zh-CN"/>
        </w:rPr>
        <w:t>投标</w:t>
      </w:r>
      <w:r>
        <w:rPr>
          <w:rFonts w:hint="eastAsia" w:ascii="宋体" w:hAnsi="宋体" w:eastAsia="宋体" w:cs="宋体"/>
          <w:color w:val="auto"/>
          <w:highlight w:val="none"/>
        </w:rPr>
        <w:t>文件有效期内遵守本响应性文件中的承诺且在此期限期满之前均具有约束力。如果我方成交，响应性文件有效期与合同履行期相同。</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4、我方已详细审查全部竞争性</w:t>
      </w:r>
      <w:r>
        <w:rPr>
          <w:rFonts w:hint="eastAsia" w:ascii="宋体" w:hAnsi="宋体" w:cs="宋体"/>
          <w:color w:val="auto"/>
          <w:highlight w:val="none"/>
          <w:lang w:val="en-US" w:eastAsia="zh-CN"/>
        </w:rPr>
        <w:t>磋商采购</w:t>
      </w:r>
      <w:r>
        <w:rPr>
          <w:rFonts w:hint="eastAsia" w:ascii="宋体" w:hAnsi="宋体" w:eastAsia="宋体" w:cs="宋体"/>
          <w:color w:val="auto"/>
          <w:highlight w:val="none"/>
        </w:rPr>
        <w:t>文件，包括修改文件（如有的话）和有关附件，将自行承担因对全部竞争性谈判文件理解不正确或误解而产生的相应后果。</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5、我方保证尊重</w:t>
      </w:r>
      <w:r>
        <w:rPr>
          <w:rFonts w:hint="eastAsia" w:ascii="宋体" w:hAnsi="宋体" w:cs="宋体"/>
          <w:color w:val="auto"/>
          <w:highlight w:val="none"/>
          <w:lang w:val="en-US" w:eastAsia="zh-CN"/>
        </w:rPr>
        <w:t>磋商</w:t>
      </w:r>
      <w:r>
        <w:rPr>
          <w:rFonts w:hint="eastAsia" w:ascii="宋体" w:hAnsi="宋体" w:eastAsia="宋体" w:cs="宋体"/>
          <w:color w:val="auto"/>
          <w:highlight w:val="none"/>
        </w:rPr>
        <w:t>小组的评审结果，完全理解本采购项目最低报价不作为成交的保证。</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6、我方理解并遵守竞争性</w:t>
      </w:r>
      <w:r>
        <w:rPr>
          <w:rFonts w:hint="eastAsia" w:ascii="宋体" w:hAnsi="宋体" w:cs="宋体"/>
          <w:color w:val="auto"/>
          <w:highlight w:val="none"/>
          <w:lang w:val="en-US" w:eastAsia="zh-CN"/>
        </w:rPr>
        <w:t>磋商采购</w:t>
      </w:r>
      <w:r>
        <w:rPr>
          <w:rFonts w:hint="eastAsia" w:ascii="宋体" w:hAnsi="宋体" w:eastAsia="宋体" w:cs="宋体"/>
          <w:color w:val="auto"/>
          <w:highlight w:val="none"/>
        </w:rPr>
        <w:t>文件的全部规定。</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7、如果被确定为成交供应商，我方同意按竞争性</w:t>
      </w:r>
      <w:r>
        <w:rPr>
          <w:rFonts w:hint="eastAsia" w:ascii="宋体" w:hAnsi="宋体" w:cs="宋体"/>
          <w:color w:val="auto"/>
          <w:highlight w:val="none"/>
          <w:lang w:val="en-US" w:eastAsia="zh-CN"/>
        </w:rPr>
        <w:t>磋商采购</w:t>
      </w:r>
      <w:r>
        <w:rPr>
          <w:rFonts w:hint="eastAsia" w:ascii="宋体" w:hAnsi="宋体" w:eastAsia="宋体" w:cs="宋体"/>
          <w:color w:val="auto"/>
          <w:highlight w:val="none"/>
        </w:rPr>
        <w:t>文件的规定领取成交通知书并缴纳服务费。否则，视为我方成交后自动放弃成交资格，承担由此引起的一切后果。</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8、如果被确定为成交供应商，按照</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文件的规定与采购人签订采购合同。否则，视为我方成交后无正当理由不与采购人签订合同并承担相应法律责任。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9、以上事项如有虚假或隐瞒，我方愿意承担一切后果和责任。</w:t>
      </w:r>
    </w:p>
    <w:p>
      <w:pPr>
        <w:autoSpaceDE w:val="0"/>
        <w:autoSpaceDN w:val="0"/>
        <w:spacing w:line="360" w:lineRule="auto"/>
        <w:rPr>
          <w:rFonts w:hint="eastAsia" w:ascii="宋体" w:hAnsi="宋体" w:eastAsia="宋体" w:cs="宋体"/>
          <w:color w:val="auto"/>
          <w:szCs w:val="21"/>
          <w:highlight w:val="none"/>
        </w:rPr>
      </w:pP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     年     月     日</w:t>
      </w:r>
    </w:p>
    <w:p>
      <w:pPr>
        <w:spacing w:line="360" w:lineRule="auto"/>
        <w:ind w:left="370" w:leftChars="176"/>
        <w:rPr>
          <w:rFonts w:hint="eastAsia" w:ascii="宋体" w:hAnsi="宋体" w:eastAsia="宋体" w:cs="宋体"/>
          <w:b/>
          <w:color w:val="auto"/>
          <w:szCs w:val="21"/>
          <w:highlight w:val="none"/>
        </w:rPr>
      </w:pPr>
    </w:p>
    <w:p>
      <w:pPr>
        <w:rPr>
          <w:color w:val="auto"/>
          <w:highlight w:val="none"/>
        </w:rPr>
      </w:pPr>
      <w:r>
        <w:rPr>
          <w:color w:val="auto"/>
          <w:highlight w:val="none"/>
        </w:rPr>
        <w:br w:type="page"/>
      </w:r>
    </w:p>
    <w:p>
      <w:pPr>
        <w:pStyle w:val="9"/>
      </w:pPr>
    </w:p>
    <w:p>
      <w:pPr>
        <w:widowControl/>
        <w:snapToGrid w:val="0"/>
        <w:spacing w:line="360" w:lineRule="auto"/>
        <w:jc w:val="center"/>
        <w:outlineLvl w:val="0"/>
        <w:rPr>
          <w:rFonts w:ascii="宋体" w:hAnsi="宋体" w:cs="Lucida Sans Unicode"/>
          <w:b/>
          <w:color w:val="auto"/>
          <w:kern w:val="0"/>
          <w:sz w:val="24"/>
          <w:highlight w:val="none"/>
        </w:rPr>
      </w:pPr>
      <w:bookmarkStart w:id="77" w:name="_Toc25094"/>
      <w:bookmarkStart w:id="78" w:name="_Toc23394"/>
      <w:r>
        <w:rPr>
          <w:rFonts w:hint="eastAsia" w:ascii="宋体" w:hAnsi="宋体" w:cs="Lucida Sans Unicode"/>
          <w:b/>
          <w:color w:val="auto"/>
          <w:kern w:val="0"/>
          <w:sz w:val="24"/>
          <w:highlight w:val="none"/>
        </w:rPr>
        <w:t>投标人认为有必要的其他资料</w:t>
      </w:r>
      <w:bookmarkEnd w:id="77"/>
      <w:bookmarkEnd w:id="78"/>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center"/>
        <w:rPr>
          <w:b/>
          <w:bCs/>
          <w:color w:val="auto"/>
          <w:sz w:val="28"/>
          <w:szCs w:val="28"/>
          <w:highlight w:val="none"/>
        </w:rPr>
      </w:pPr>
    </w:p>
    <w:p>
      <w:pPr>
        <w:pStyle w:val="14"/>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8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S Serif">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4"/>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4"/>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pPr>
    <w:r>
      <w:rPr>
        <w:rFonts w:hint="eastAsia" w:ascii="宋体" w:hAnsi="宋体" w:cs="宋体"/>
        <w:color w:val="auto"/>
        <w:lang w:eastAsia="zh-CN"/>
      </w:rPr>
      <w:t>门诊楼配电室七氟丙烷灭火系统安装工程</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rPr>
        <w:rFonts w:hint="eastAsia"/>
      </w:rPr>
    </w:pPr>
    <w:r>
      <w:rPr>
        <w:rFonts w:hint="eastAsia"/>
      </w:rPr>
      <w:t xml:space="preserve">                            </w:t>
    </w:r>
    <w:r>
      <w:rPr>
        <w:rFonts w:hint="eastAsia" w:ascii="宋体" w:hAnsi="宋体" w:cs="宋体"/>
        <w:color w:val="auto"/>
        <w:lang w:eastAsia="zh-CN"/>
      </w:rPr>
      <w:t>门诊楼配电室七氟丙烷灭火系统安装工程</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18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C3DC8"/>
    <w:rsid w:val="01525212"/>
    <w:rsid w:val="01564054"/>
    <w:rsid w:val="017E6D95"/>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1126C4"/>
    <w:rsid w:val="032A1114"/>
    <w:rsid w:val="036A009A"/>
    <w:rsid w:val="03844805"/>
    <w:rsid w:val="03845791"/>
    <w:rsid w:val="03A011E9"/>
    <w:rsid w:val="03AE7F27"/>
    <w:rsid w:val="03BD2BCD"/>
    <w:rsid w:val="04416C20"/>
    <w:rsid w:val="047968B1"/>
    <w:rsid w:val="04870542"/>
    <w:rsid w:val="05545DD3"/>
    <w:rsid w:val="056E2AD6"/>
    <w:rsid w:val="05806815"/>
    <w:rsid w:val="058251D3"/>
    <w:rsid w:val="05945CCE"/>
    <w:rsid w:val="059D05A4"/>
    <w:rsid w:val="059D5E17"/>
    <w:rsid w:val="05AB0A28"/>
    <w:rsid w:val="05AB0F81"/>
    <w:rsid w:val="05B93D6B"/>
    <w:rsid w:val="05D53002"/>
    <w:rsid w:val="05D75738"/>
    <w:rsid w:val="061E7D14"/>
    <w:rsid w:val="06560AED"/>
    <w:rsid w:val="066469C9"/>
    <w:rsid w:val="066646A1"/>
    <w:rsid w:val="06983B20"/>
    <w:rsid w:val="069A3B66"/>
    <w:rsid w:val="06B91765"/>
    <w:rsid w:val="06CA2AD2"/>
    <w:rsid w:val="06CE3071"/>
    <w:rsid w:val="06D33DBA"/>
    <w:rsid w:val="06E13F9F"/>
    <w:rsid w:val="06FB0AC5"/>
    <w:rsid w:val="070D2D5D"/>
    <w:rsid w:val="07111B8D"/>
    <w:rsid w:val="071A6392"/>
    <w:rsid w:val="074A5B92"/>
    <w:rsid w:val="075E3193"/>
    <w:rsid w:val="078E18EB"/>
    <w:rsid w:val="07B10EA5"/>
    <w:rsid w:val="07CE3FA1"/>
    <w:rsid w:val="07EC2ECB"/>
    <w:rsid w:val="07FE66CB"/>
    <w:rsid w:val="080B4D47"/>
    <w:rsid w:val="08321601"/>
    <w:rsid w:val="083622CC"/>
    <w:rsid w:val="083D5C91"/>
    <w:rsid w:val="0847191F"/>
    <w:rsid w:val="08591DC3"/>
    <w:rsid w:val="086D4B57"/>
    <w:rsid w:val="087C4541"/>
    <w:rsid w:val="087E5595"/>
    <w:rsid w:val="08BF496D"/>
    <w:rsid w:val="08C52D6F"/>
    <w:rsid w:val="08EF0201"/>
    <w:rsid w:val="08F41DE8"/>
    <w:rsid w:val="09737462"/>
    <w:rsid w:val="099156C3"/>
    <w:rsid w:val="09A53F39"/>
    <w:rsid w:val="09A60E13"/>
    <w:rsid w:val="09D206F0"/>
    <w:rsid w:val="0A321AC2"/>
    <w:rsid w:val="0A343D4E"/>
    <w:rsid w:val="0A3E6D2E"/>
    <w:rsid w:val="0A7E0215"/>
    <w:rsid w:val="0AD13A85"/>
    <w:rsid w:val="0AD74491"/>
    <w:rsid w:val="0B091954"/>
    <w:rsid w:val="0B637D77"/>
    <w:rsid w:val="0BAC324F"/>
    <w:rsid w:val="0BF72F1E"/>
    <w:rsid w:val="0C3957A5"/>
    <w:rsid w:val="0C626DA7"/>
    <w:rsid w:val="0C6876AE"/>
    <w:rsid w:val="0C720EC8"/>
    <w:rsid w:val="0C942042"/>
    <w:rsid w:val="0C9D50DC"/>
    <w:rsid w:val="0CA5271D"/>
    <w:rsid w:val="0CA947B3"/>
    <w:rsid w:val="0CAC4D10"/>
    <w:rsid w:val="0CC72121"/>
    <w:rsid w:val="0CEE5A21"/>
    <w:rsid w:val="0D0646E7"/>
    <w:rsid w:val="0D0C38CA"/>
    <w:rsid w:val="0D2B7585"/>
    <w:rsid w:val="0DC577E0"/>
    <w:rsid w:val="0DDC6319"/>
    <w:rsid w:val="0E0C0D4C"/>
    <w:rsid w:val="0E115DA1"/>
    <w:rsid w:val="0E162D6D"/>
    <w:rsid w:val="0E314150"/>
    <w:rsid w:val="0E541CA2"/>
    <w:rsid w:val="0E594756"/>
    <w:rsid w:val="0E5C3AD8"/>
    <w:rsid w:val="0E616A25"/>
    <w:rsid w:val="0E95596D"/>
    <w:rsid w:val="0EAE6205"/>
    <w:rsid w:val="0EAE6579"/>
    <w:rsid w:val="0EAF71BF"/>
    <w:rsid w:val="0ECE6257"/>
    <w:rsid w:val="0EE4129D"/>
    <w:rsid w:val="0F171032"/>
    <w:rsid w:val="0F335E69"/>
    <w:rsid w:val="0F35749D"/>
    <w:rsid w:val="0F3D59C9"/>
    <w:rsid w:val="0F516D5A"/>
    <w:rsid w:val="0F565B36"/>
    <w:rsid w:val="0F796797"/>
    <w:rsid w:val="0F821E7D"/>
    <w:rsid w:val="0F967099"/>
    <w:rsid w:val="0FE7592C"/>
    <w:rsid w:val="0FFD20F0"/>
    <w:rsid w:val="103E6E57"/>
    <w:rsid w:val="1041497B"/>
    <w:rsid w:val="10425FF6"/>
    <w:rsid w:val="109010E6"/>
    <w:rsid w:val="10B271F4"/>
    <w:rsid w:val="10C8275C"/>
    <w:rsid w:val="10E03539"/>
    <w:rsid w:val="10E82D1F"/>
    <w:rsid w:val="10EE5C94"/>
    <w:rsid w:val="113329E7"/>
    <w:rsid w:val="113F294C"/>
    <w:rsid w:val="11437C85"/>
    <w:rsid w:val="1166372C"/>
    <w:rsid w:val="11700D10"/>
    <w:rsid w:val="1178125A"/>
    <w:rsid w:val="1196056D"/>
    <w:rsid w:val="11D34654"/>
    <w:rsid w:val="12010480"/>
    <w:rsid w:val="120E707F"/>
    <w:rsid w:val="127A7D1C"/>
    <w:rsid w:val="12836D8B"/>
    <w:rsid w:val="12AB0349"/>
    <w:rsid w:val="12C329EB"/>
    <w:rsid w:val="12C54E79"/>
    <w:rsid w:val="12CD57F1"/>
    <w:rsid w:val="12CE7AFA"/>
    <w:rsid w:val="12D67466"/>
    <w:rsid w:val="13272A5D"/>
    <w:rsid w:val="13493108"/>
    <w:rsid w:val="13733928"/>
    <w:rsid w:val="139C16C9"/>
    <w:rsid w:val="13B63CE1"/>
    <w:rsid w:val="13BC6684"/>
    <w:rsid w:val="13C72B3A"/>
    <w:rsid w:val="13DF575E"/>
    <w:rsid w:val="13EE3A98"/>
    <w:rsid w:val="142123F7"/>
    <w:rsid w:val="142A11D8"/>
    <w:rsid w:val="143F0797"/>
    <w:rsid w:val="144B544C"/>
    <w:rsid w:val="145B7B45"/>
    <w:rsid w:val="14717443"/>
    <w:rsid w:val="148D52E3"/>
    <w:rsid w:val="14992B90"/>
    <w:rsid w:val="14AF1856"/>
    <w:rsid w:val="14AF19A3"/>
    <w:rsid w:val="14B53957"/>
    <w:rsid w:val="14C53ECE"/>
    <w:rsid w:val="14E002E6"/>
    <w:rsid w:val="14FC36BD"/>
    <w:rsid w:val="151E3A0F"/>
    <w:rsid w:val="1557566D"/>
    <w:rsid w:val="15811F1B"/>
    <w:rsid w:val="15A30135"/>
    <w:rsid w:val="15A34015"/>
    <w:rsid w:val="15E2236F"/>
    <w:rsid w:val="161D09ED"/>
    <w:rsid w:val="162323A3"/>
    <w:rsid w:val="162F30B1"/>
    <w:rsid w:val="16510F12"/>
    <w:rsid w:val="166448F9"/>
    <w:rsid w:val="1677211D"/>
    <w:rsid w:val="167954F9"/>
    <w:rsid w:val="16A060BA"/>
    <w:rsid w:val="16A57EAF"/>
    <w:rsid w:val="16AC6E3F"/>
    <w:rsid w:val="16D54FA3"/>
    <w:rsid w:val="16D84D9F"/>
    <w:rsid w:val="16E94D3E"/>
    <w:rsid w:val="170D06E0"/>
    <w:rsid w:val="17223B46"/>
    <w:rsid w:val="17332185"/>
    <w:rsid w:val="17392A12"/>
    <w:rsid w:val="17475951"/>
    <w:rsid w:val="179F2E61"/>
    <w:rsid w:val="17C227C0"/>
    <w:rsid w:val="17F0701A"/>
    <w:rsid w:val="18097740"/>
    <w:rsid w:val="185D3C42"/>
    <w:rsid w:val="185F38AF"/>
    <w:rsid w:val="18705DBC"/>
    <w:rsid w:val="189118CC"/>
    <w:rsid w:val="18AD1BEB"/>
    <w:rsid w:val="18B3004A"/>
    <w:rsid w:val="18B96080"/>
    <w:rsid w:val="18F67868"/>
    <w:rsid w:val="190B2D88"/>
    <w:rsid w:val="190E6B63"/>
    <w:rsid w:val="19123928"/>
    <w:rsid w:val="19194264"/>
    <w:rsid w:val="19420786"/>
    <w:rsid w:val="19427EC0"/>
    <w:rsid w:val="195711D7"/>
    <w:rsid w:val="195D2A3F"/>
    <w:rsid w:val="198310E9"/>
    <w:rsid w:val="198D747A"/>
    <w:rsid w:val="19A15638"/>
    <w:rsid w:val="1A0C111B"/>
    <w:rsid w:val="1A125525"/>
    <w:rsid w:val="1A562AB7"/>
    <w:rsid w:val="1A5F4342"/>
    <w:rsid w:val="1A8C5D82"/>
    <w:rsid w:val="1A994988"/>
    <w:rsid w:val="1A9B546C"/>
    <w:rsid w:val="1AA3511F"/>
    <w:rsid w:val="1AAE3B54"/>
    <w:rsid w:val="1AC10987"/>
    <w:rsid w:val="1AC82C7D"/>
    <w:rsid w:val="1AEE5218"/>
    <w:rsid w:val="1B0C5B32"/>
    <w:rsid w:val="1B0D3E82"/>
    <w:rsid w:val="1B1652AB"/>
    <w:rsid w:val="1B181CD5"/>
    <w:rsid w:val="1B265306"/>
    <w:rsid w:val="1B2B7138"/>
    <w:rsid w:val="1B4F2450"/>
    <w:rsid w:val="1B8C18B7"/>
    <w:rsid w:val="1BB73AE1"/>
    <w:rsid w:val="1BDA6D68"/>
    <w:rsid w:val="1C073948"/>
    <w:rsid w:val="1C555978"/>
    <w:rsid w:val="1C6554A1"/>
    <w:rsid w:val="1C7971B7"/>
    <w:rsid w:val="1CD402EC"/>
    <w:rsid w:val="1CF02333"/>
    <w:rsid w:val="1D0C33A2"/>
    <w:rsid w:val="1D113E6E"/>
    <w:rsid w:val="1D114E5E"/>
    <w:rsid w:val="1D1A7DC4"/>
    <w:rsid w:val="1D1F0050"/>
    <w:rsid w:val="1D2222DC"/>
    <w:rsid w:val="1D5B3CDE"/>
    <w:rsid w:val="1D6E2950"/>
    <w:rsid w:val="1D98209B"/>
    <w:rsid w:val="1DA23746"/>
    <w:rsid w:val="1DAA14B9"/>
    <w:rsid w:val="1DD04513"/>
    <w:rsid w:val="1DE75755"/>
    <w:rsid w:val="1E312D17"/>
    <w:rsid w:val="1E504393"/>
    <w:rsid w:val="1E62755C"/>
    <w:rsid w:val="1E656063"/>
    <w:rsid w:val="1E6B06A5"/>
    <w:rsid w:val="1E7F7D9E"/>
    <w:rsid w:val="1E840DA4"/>
    <w:rsid w:val="1EA5444C"/>
    <w:rsid w:val="1EB350EF"/>
    <w:rsid w:val="1EC21749"/>
    <w:rsid w:val="1ED805F3"/>
    <w:rsid w:val="1EEB7C4E"/>
    <w:rsid w:val="1F171B83"/>
    <w:rsid w:val="1F2D491A"/>
    <w:rsid w:val="1F7369C7"/>
    <w:rsid w:val="1F94547B"/>
    <w:rsid w:val="1FAF308C"/>
    <w:rsid w:val="1FC11109"/>
    <w:rsid w:val="1FEF08C8"/>
    <w:rsid w:val="1FF72E6A"/>
    <w:rsid w:val="201B3ED4"/>
    <w:rsid w:val="20310B02"/>
    <w:rsid w:val="206F0406"/>
    <w:rsid w:val="20721A69"/>
    <w:rsid w:val="20784063"/>
    <w:rsid w:val="207E346A"/>
    <w:rsid w:val="208E12C3"/>
    <w:rsid w:val="209502A3"/>
    <w:rsid w:val="20A61084"/>
    <w:rsid w:val="20B120D5"/>
    <w:rsid w:val="210F579E"/>
    <w:rsid w:val="212550B5"/>
    <w:rsid w:val="21592B62"/>
    <w:rsid w:val="215C64E4"/>
    <w:rsid w:val="21747CD2"/>
    <w:rsid w:val="219E5782"/>
    <w:rsid w:val="21B207FA"/>
    <w:rsid w:val="21B85B1A"/>
    <w:rsid w:val="21E72B0B"/>
    <w:rsid w:val="22191077"/>
    <w:rsid w:val="221F2D96"/>
    <w:rsid w:val="22246DB1"/>
    <w:rsid w:val="22440067"/>
    <w:rsid w:val="224A3767"/>
    <w:rsid w:val="225A6017"/>
    <w:rsid w:val="227A5532"/>
    <w:rsid w:val="22843A03"/>
    <w:rsid w:val="22A338AB"/>
    <w:rsid w:val="22AD37A2"/>
    <w:rsid w:val="22B31E8A"/>
    <w:rsid w:val="22C735BD"/>
    <w:rsid w:val="23122833"/>
    <w:rsid w:val="23223458"/>
    <w:rsid w:val="23225D32"/>
    <w:rsid w:val="23357BE6"/>
    <w:rsid w:val="2342574E"/>
    <w:rsid w:val="2377331D"/>
    <w:rsid w:val="237D43DE"/>
    <w:rsid w:val="23940114"/>
    <w:rsid w:val="23B57016"/>
    <w:rsid w:val="23D4764B"/>
    <w:rsid w:val="23E4182C"/>
    <w:rsid w:val="23EC3718"/>
    <w:rsid w:val="24044EF2"/>
    <w:rsid w:val="2407139D"/>
    <w:rsid w:val="240B04F4"/>
    <w:rsid w:val="242A0646"/>
    <w:rsid w:val="2435301D"/>
    <w:rsid w:val="243D6E1A"/>
    <w:rsid w:val="2460453E"/>
    <w:rsid w:val="24607F91"/>
    <w:rsid w:val="246C581B"/>
    <w:rsid w:val="247C52A2"/>
    <w:rsid w:val="24CC106B"/>
    <w:rsid w:val="24D00598"/>
    <w:rsid w:val="24D725E9"/>
    <w:rsid w:val="25045F70"/>
    <w:rsid w:val="25056E93"/>
    <w:rsid w:val="25092EBA"/>
    <w:rsid w:val="25241020"/>
    <w:rsid w:val="257572C3"/>
    <w:rsid w:val="25790E85"/>
    <w:rsid w:val="25972C60"/>
    <w:rsid w:val="259D1676"/>
    <w:rsid w:val="25A353EB"/>
    <w:rsid w:val="25B87B65"/>
    <w:rsid w:val="25CB78C3"/>
    <w:rsid w:val="25D54390"/>
    <w:rsid w:val="25E1345C"/>
    <w:rsid w:val="260C5215"/>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7F21951"/>
    <w:rsid w:val="283C23DF"/>
    <w:rsid w:val="284C16F5"/>
    <w:rsid w:val="28570AB5"/>
    <w:rsid w:val="28C2534B"/>
    <w:rsid w:val="28C5525A"/>
    <w:rsid w:val="28D14B96"/>
    <w:rsid w:val="29020C46"/>
    <w:rsid w:val="290240C7"/>
    <w:rsid w:val="29274EE0"/>
    <w:rsid w:val="2969197F"/>
    <w:rsid w:val="29746E87"/>
    <w:rsid w:val="297C03C2"/>
    <w:rsid w:val="299573AB"/>
    <w:rsid w:val="29BE5BD0"/>
    <w:rsid w:val="29C01572"/>
    <w:rsid w:val="29E74CE2"/>
    <w:rsid w:val="2A306A36"/>
    <w:rsid w:val="2A5372C6"/>
    <w:rsid w:val="2A5B03D8"/>
    <w:rsid w:val="2A6F6D07"/>
    <w:rsid w:val="2A882500"/>
    <w:rsid w:val="2AB63ABC"/>
    <w:rsid w:val="2AE5579D"/>
    <w:rsid w:val="2B003D00"/>
    <w:rsid w:val="2B074D5E"/>
    <w:rsid w:val="2B100BA9"/>
    <w:rsid w:val="2B1E3AFC"/>
    <w:rsid w:val="2B9E4F56"/>
    <w:rsid w:val="2BDB5A88"/>
    <w:rsid w:val="2BE91C37"/>
    <w:rsid w:val="2BEC3F72"/>
    <w:rsid w:val="2BFA18D0"/>
    <w:rsid w:val="2C083572"/>
    <w:rsid w:val="2C185F94"/>
    <w:rsid w:val="2C1F1AC4"/>
    <w:rsid w:val="2C3F3A41"/>
    <w:rsid w:val="2C4431C4"/>
    <w:rsid w:val="2C62059F"/>
    <w:rsid w:val="2C6634FA"/>
    <w:rsid w:val="2CAC022C"/>
    <w:rsid w:val="2CC11807"/>
    <w:rsid w:val="2CF16074"/>
    <w:rsid w:val="2CF81D1B"/>
    <w:rsid w:val="2D3F2453"/>
    <w:rsid w:val="2D835174"/>
    <w:rsid w:val="2D9710FE"/>
    <w:rsid w:val="2DD5740D"/>
    <w:rsid w:val="2DD90B7B"/>
    <w:rsid w:val="2DDD3FC1"/>
    <w:rsid w:val="2DF701D8"/>
    <w:rsid w:val="2DF970A1"/>
    <w:rsid w:val="2E085834"/>
    <w:rsid w:val="2E1034F8"/>
    <w:rsid w:val="2E505773"/>
    <w:rsid w:val="2E742F70"/>
    <w:rsid w:val="2EDC2A13"/>
    <w:rsid w:val="2EE1094C"/>
    <w:rsid w:val="2EF42BB8"/>
    <w:rsid w:val="2EFD7DB9"/>
    <w:rsid w:val="2F1A081D"/>
    <w:rsid w:val="2F1E3DC0"/>
    <w:rsid w:val="2F3112DE"/>
    <w:rsid w:val="2F3B6922"/>
    <w:rsid w:val="2F506C6D"/>
    <w:rsid w:val="2F51291F"/>
    <w:rsid w:val="2F55758A"/>
    <w:rsid w:val="2F7F15AE"/>
    <w:rsid w:val="2F9D46D6"/>
    <w:rsid w:val="2FA54796"/>
    <w:rsid w:val="2FA674E2"/>
    <w:rsid w:val="2FFE7D49"/>
    <w:rsid w:val="302A5C42"/>
    <w:rsid w:val="30487007"/>
    <w:rsid w:val="30BF439A"/>
    <w:rsid w:val="30CF6A37"/>
    <w:rsid w:val="30D250CF"/>
    <w:rsid w:val="31002970"/>
    <w:rsid w:val="311016AD"/>
    <w:rsid w:val="3136622A"/>
    <w:rsid w:val="3139422E"/>
    <w:rsid w:val="31700E4B"/>
    <w:rsid w:val="3172683C"/>
    <w:rsid w:val="318D53A5"/>
    <w:rsid w:val="31A359FC"/>
    <w:rsid w:val="31AD0D61"/>
    <w:rsid w:val="31BE6E53"/>
    <w:rsid w:val="31CD73BD"/>
    <w:rsid w:val="31D64413"/>
    <w:rsid w:val="31D66571"/>
    <w:rsid w:val="31DB4220"/>
    <w:rsid w:val="31E63B94"/>
    <w:rsid w:val="31F06A92"/>
    <w:rsid w:val="32176602"/>
    <w:rsid w:val="322A7699"/>
    <w:rsid w:val="322B25C6"/>
    <w:rsid w:val="32422E70"/>
    <w:rsid w:val="325E25FA"/>
    <w:rsid w:val="3275698A"/>
    <w:rsid w:val="32B943EC"/>
    <w:rsid w:val="32DC63A0"/>
    <w:rsid w:val="32E429C1"/>
    <w:rsid w:val="334A3B2A"/>
    <w:rsid w:val="3365592E"/>
    <w:rsid w:val="336F6533"/>
    <w:rsid w:val="337E5E2F"/>
    <w:rsid w:val="3384610D"/>
    <w:rsid w:val="33AA5979"/>
    <w:rsid w:val="33C03E90"/>
    <w:rsid w:val="33C96649"/>
    <w:rsid w:val="33CC3D88"/>
    <w:rsid w:val="33FD722F"/>
    <w:rsid w:val="3400362D"/>
    <w:rsid w:val="340B09C5"/>
    <w:rsid w:val="341E4CAB"/>
    <w:rsid w:val="34584EE2"/>
    <w:rsid w:val="347D373F"/>
    <w:rsid w:val="34956481"/>
    <w:rsid w:val="34A35871"/>
    <w:rsid w:val="34C06C9D"/>
    <w:rsid w:val="34DF24AE"/>
    <w:rsid w:val="351C4931"/>
    <w:rsid w:val="351D4C26"/>
    <w:rsid w:val="35361A77"/>
    <w:rsid w:val="353D0A2C"/>
    <w:rsid w:val="35461A22"/>
    <w:rsid w:val="35483CC9"/>
    <w:rsid w:val="356B1211"/>
    <w:rsid w:val="35A815CB"/>
    <w:rsid w:val="35AA1B9C"/>
    <w:rsid w:val="35D63CDF"/>
    <w:rsid w:val="35DB09A6"/>
    <w:rsid w:val="369B4CF0"/>
    <w:rsid w:val="36D62629"/>
    <w:rsid w:val="36D76172"/>
    <w:rsid w:val="36E833BB"/>
    <w:rsid w:val="36EB1E1B"/>
    <w:rsid w:val="36F17F0D"/>
    <w:rsid w:val="372A4647"/>
    <w:rsid w:val="3735197D"/>
    <w:rsid w:val="373756A2"/>
    <w:rsid w:val="375E0DA6"/>
    <w:rsid w:val="378B61A6"/>
    <w:rsid w:val="37B20750"/>
    <w:rsid w:val="37CD3F98"/>
    <w:rsid w:val="37DF75BA"/>
    <w:rsid w:val="37E148E2"/>
    <w:rsid w:val="380B72D9"/>
    <w:rsid w:val="38196A86"/>
    <w:rsid w:val="38304889"/>
    <w:rsid w:val="38382675"/>
    <w:rsid w:val="3851700B"/>
    <w:rsid w:val="385246B6"/>
    <w:rsid w:val="38A53DB7"/>
    <w:rsid w:val="38BF3388"/>
    <w:rsid w:val="38CC268D"/>
    <w:rsid w:val="38EC2960"/>
    <w:rsid w:val="392536E2"/>
    <w:rsid w:val="39465F15"/>
    <w:rsid w:val="396453C5"/>
    <w:rsid w:val="39922CCF"/>
    <w:rsid w:val="39A65327"/>
    <w:rsid w:val="39A65C9B"/>
    <w:rsid w:val="39BC5ED6"/>
    <w:rsid w:val="39EB39E0"/>
    <w:rsid w:val="39EF02D4"/>
    <w:rsid w:val="3A11342A"/>
    <w:rsid w:val="3A153110"/>
    <w:rsid w:val="3A2507C0"/>
    <w:rsid w:val="3A64203E"/>
    <w:rsid w:val="3A663D00"/>
    <w:rsid w:val="3A7428D0"/>
    <w:rsid w:val="3A923AE4"/>
    <w:rsid w:val="3AA50E25"/>
    <w:rsid w:val="3AC566E3"/>
    <w:rsid w:val="3AD6747A"/>
    <w:rsid w:val="3B3D0FF2"/>
    <w:rsid w:val="3B521A18"/>
    <w:rsid w:val="3B923660"/>
    <w:rsid w:val="3BCA44BE"/>
    <w:rsid w:val="3C0433C5"/>
    <w:rsid w:val="3C061F3A"/>
    <w:rsid w:val="3C1E28BD"/>
    <w:rsid w:val="3C495480"/>
    <w:rsid w:val="3C6F0167"/>
    <w:rsid w:val="3C71667B"/>
    <w:rsid w:val="3C914F3B"/>
    <w:rsid w:val="3CC17F13"/>
    <w:rsid w:val="3CE320A3"/>
    <w:rsid w:val="3CE9196C"/>
    <w:rsid w:val="3CF15105"/>
    <w:rsid w:val="3D0C04B9"/>
    <w:rsid w:val="3D1414C5"/>
    <w:rsid w:val="3D1C763E"/>
    <w:rsid w:val="3D201AA5"/>
    <w:rsid w:val="3D2B37EA"/>
    <w:rsid w:val="3D2F7FF3"/>
    <w:rsid w:val="3D3D1507"/>
    <w:rsid w:val="3D62085B"/>
    <w:rsid w:val="3D7B4622"/>
    <w:rsid w:val="3D942E29"/>
    <w:rsid w:val="3DB54E0C"/>
    <w:rsid w:val="3DB900C1"/>
    <w:rsid w:val="3DE91725"/>
    <w:rsid w:val="3DF159B1"/>
    <w:rsid w:val="3E1A106E"/>
    <w:rsid w:val="3E36303B"/>
    <w:rsid w:val="3E526044"/>
    <w:rsid w:val="3E8C5311"/>
    <w:rsid w:val="3E8E7E55"/>
    <w:rsid w:val="3EB61473"/>
    <w:rsid w:val="3ED32B4D"/>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765D15"/>
    <w:rsid w:val="407F2DE9"/>
    <w:rsid w:val="40991379"/>
    <w:rsid w:val="409B3C3D"/>
    <w:rsid w:val="40F701DF"/>
    <w:rsid w:val="40FD480A"/>
    <w:rsid w:val="412A32F8"/>
    <w:rsid w:val="417F433E"/>
    <w:rsid w:val="41B7239D"/>
    <w:rsid w:val="41FF3845"/>
    <w:rsid w:val="421104A9"/>
    <w:rsid w:val="42143B88"/>
    <w:rsid w:val="42164586"/>
    <w:rsid w:val="425B5DD1"/>
    <w:rsid w:val="4260300C"/>
    <w:rsid w:val="42800B9B"/>
    <w:rsid w:val="42A06B6C"/>
    <w:rsid w:val="42EA5650"/>
    <w:rsid w:val="431408DA"/>
    <w:rsid w:val="4331401E"/>
    <w:rsid w:val="435A0DF2"/>
    <w:rsid w:val="436C42E1"/>
    <w:rsid w:val="437C210F"/>
    <w:rsid w:val="43847F02"/>
    <w:rsid w:val="438F113C"/>
    <w:rsid w:val="439E7EFB"/>
    <w:rsid w:val="43B1568A"/>
    <w:rsid w:val="43D05608"/>
    <w:rsid w:val="43D43ECA"/>
    <w:rsid w:val="43D50ABF"/>
    <w:rsid w:val="43DD452F"/>
    <w:rsid w:val="43DE6CD4"/>
    <w:rsid w:val="43E51150"/>
    <w:rsid w:val="43EF28BB"/>
    <w:rsid w:val="43EF56D3"/>
    <w:rsid w:val="440A6FD2"/>
    <w:rsid w:val="444946CA"/>
    <w:rsid w:val="444B3F54"/>
    <w:rsid w:val="44550E45"/>
    <w:rsid w:val="4476661F"/>
    <w:rsid w:val="447E3AC5"/>
    <w:rsid w:val="44A90BAA"/>
    <w:rsid w:val="44B24A20"/>
    <w:rsid w:val="44BC0BEE"/>
    <w:rsid w:val="44FB1C9C"/>
    <w:rsid w:val="454F1836"/>
    <w:rsid w:val="45887B45"/>
    <w:rsid w:val="458B66DF"/>
    <w:rsid w:val="45940F0E"/>
    <w:rsid w:val="45C647AF"/>
    <w:rsid w:val="45DD529D"/>
    <w:rsid w:val="45E57886"/>
    <w:rsid w:val="46003076"/>
    <w:rsid w:val="46177E29"/>
    <w:rsid w:val="46205B7F"/>
    <w:rsid w:val="465D501C"/>
    <w:rsid w:val="466367DB"/>
    <w:rsid w:val="46686D18"/>
    <w:rsid w:val="46C3037C"/>
    <w:rsid w:val="46FF15E0"/>
    <w:rsid w:val="4700581C"/>
    <w:rsid w:val="4702516A"/>
    <w:rsid w:val="470D7268"/>
    <w:rsid w:val="473E61A6"/>
    <w:rsid w:val="474A4B33"/>
    <w:rsid w:val="47665A15"/>
    <w:rsid w:val="47677941"/>
    <w:rsid w:val="477F1660"/>
    <w:rsid w:val="4788232A"/>
    <w:rsid w:val="478B0398"/>
    <w:rsid w:val="478F5D0B"/>
    <w:rsid w:val="47B8724E"/>
    <w:rsid w:val="47ED7BCA"/>
    <w:rsid w:val="48016F34"/>
    <w:rsid w:val="480556DB"/>
    <w:rsid w:val="48185C56"/>
    <w:rsid w:val="48450F81"/>
    <w:rsid w:val="484E729D"/>
    <w:rsid w:val="485A23C2"/>
    <w:rsid w:val="48A16B62"/>
    <w:rsid w:val="48BC6222"/>
    <w:rsid w:val="48C245E9"/>
    <w:rsid w:val="48DB312A"/>
    <w:rsid w:val="48DF49D9"/>
    <w:rsid w:val="492108CC"/>
    <w:rsid w:val="498D1081"/>
    <w:rsid w:val="498D40EA"/>
    <w:rsid w:val="4A05334F"/>
    <w:rsid w:val="4A244932"/>
    <w:rsid w:val="4A2922C8"/>
    <w:rsid w:val="4A4117B2"/>
    <w:rsid w:val="4A7A4350"/>
    <w:rsid w:val="4A7E2497"/>
    <w:rsid w:val="4A896826"/>
    <w:rsid w:val="4ABF5E17"/>
    <w:rsid w:val="4AE01A66"/>
    <w:rsid w:val="4AED707B"/>
    <w:rsid w:val="4B0B7979"/>
    <w:rsid w:val="4B520DF4"/>
    <w:rsid w:val="4B603107"/>
    <w:rsid w:val="4B9802B0"/>
    <w:rsid w:val="4B9E65BE"/>
    <w:rsid w:val="4B9F33A8"/>
    <w:rsid w:val="4BA80AFD"/>
    <w:rsid w:val="4BB033BA"/>
    <w:rsid w:val="4BB469AD"/>
    <w:rsid w:val="4BC06040"/>
    <w:rsid w:val="4BF441D2"/>
    <w:rsid w:val="4C1C2A09"/>
    <w:rsid w:val="4C694192"/>
    <w:rsid w:val="4C7964D9"/>
    <w:rsid w:val="4CC84335"/>
    <w:rsid w:val="4CE9350A"/>
    <w:rsid w:val="4D297BF3"/>
    <w:rsid w:val="4D2D0EAF"/>
    <w:rsid w:val="4D7F0082"/>
    <w:rsid w:val="4D952FD9"/>
    <w:rsid w:val="4D970662"/>
    <w:rsid w:val="4DB33393"/>
    <w:rsid w:val="4DCF1E0D"/>
    <w:rsid w:val="4DD632D9"/>
    <w:rsid w:val="4DE05DF9"/>
    <w:rsid w:val="4DE44800"/>
    <w:rsid w:val="4DEE0709"/>
    <w:rsid w:val="4DFC14EA"/>
    <w:rsid w:val="4DFF6815"/>
    <w:rsid w:val="4E0A3427"/>
    <w:rsid w:val="4E304B5D"/>
    <w:rsid w:val="4E682F8C"/>
    <w:rsid w:val="4E6A7BB7"/>
    <w:rsid w:val="4F0773B4"/>
    <w:rsid w:val="4F307BB1"/>
    <w:rsid w:val="4F3D562D"/>
    <w:rsid w:val="4F5C4EE0"/>
    <w:rsid w:val="4F6E1972"/>
    <w:rsid w:val="4F8024CB"/>
    <w:rsid w:val="4F943166"/>
    <w:rsid w:val="4FBA02A1"/>
    <w:rsid w:val="4FE7106E"/>
    <w:rsid w:val="50053943"/>
    <w:rsid w:val="50273A87"/>
    <w:rsid w:val="50550E55"/>
    <w:rsid w:val="509F43E4"/>
    <w:rsid w:val="50A54D3E"/>
    <w:rsid w:val="50F1402B"/>
    <w:rsid w:val="50FD2AD9"/>
    <w:rsid w:val="51097D9A"/>
    <w:rsid w:val="51237D2E"/>
    <w:rsid w:val="51996737"/>
    <w:rsid w:val="51B408B8"/>
    <w:rsid w:val="51B77244"/>
    <w:rsid w:val="51CC0868"/>
    <w:rsid w:val="51D5340F"/>
    <w:rsid w:val="51D81308"/>
    <w:rsid w:val="52382F2A"/>
    <w:rsid w:val="52386E3D"/>
    <w:rsid w:val="523A7DD1"/>
    <w:rsid w:val="5271774C"/>
    <w:rsid w:val="52854FEC"/>
    <w:rsid w:val="52DE008D"/>
    <w:rsid w:val="52EE341E"/>
    <w:rsid w:val="52F37FE6"/>
    <w:rsid w:val="52FC1CAF"/>
    <w:rsid w:val="532B6CAF"/>
    <w:rsid w:val="53350D91"/>
    <w:rsid w:val="53412644"/>
    <w:rsid w:val="53433903"/>
    <w:rsid w:val="53517A72"/>
    <w:rsid w:val="5361549D"/>
    <w:rsid w:val="536220DA"/>
    <w:rsid w:val="53650637"/>
    <w:rsid w:val="53757C6B"/>
    <w:rsid w:val="537E1075"/>
    <w:rsid w:val="53980D4F"/>
    <w:rsid w:val="53A44D07"/>
    <w:rsid w:val="53A46AC8"/>
    <w:rsid w:val="53AB7F1F"/>
    <w:rsid w:val="53AC6F7B"/>
    <w:rsid w:val="53EB297B"/>
    <w:rsid w:val="54293E19"/>
    <w:rsid w:val="542E2BC2"/>
    <w:rsid w:val="54352A96"/>
    <w:rsid w:val="54447390"/>
    <w:rsid w:val="545E1D01"/>
    <w:rsid w:val="54935B8F"/>
    <w:rsid w:val="54CC6227"/>
    <w:rsid w:val="54D10F9B"/>
    <w:rsid w:val="54FC530D"/>
    <w:rsid w:val="551D586C"/>
    <w:rsid w:val="55200298"/>
    <w:rsid w:val="55335E1B"/>
    <w:rsid w:val="554B7EF0"/>
    <w:rsid w:val="556F3D99"/>
    <w:rsid w:val="55860894"/>
    <w:rsid w:val="558A0B6B"/>
    <w:rsid w:val="55B02DF1"/>
    <w:rsid w:val="55DC290C"/>
    <w:rsid w:val="55F01FA1"/>
    <w:rsid w:val="56990B7C"/>
    <w:rsid w:val="569E1126"/>
    <w:rsid w:val="56B80DEB"/>
    <w:rsid w:val="56E06E61"/>
    <w:rsid w:val="56F653FE"/>
    <w:rsid w:val="575B7AFD"/>
    <w:rsid w:val="57660D3F"/>
    <w:rsid w:val="57727B09"/>
    <w:rsid w:val="57D1153D"/>
    <w:rsid w:val="57FA3774"/>
    <w:rsid w:val="58084A3C"/>
    <w:rsid w:val="585D2975"/>
    <w:rsid w:val="587E3341"/>
    <w:rsid w:val="58CF56D8"/>
    <w:rsid w:val="58D31010"/>
    <w:rsid w:val="58D6741E"/>
    <w:rsid w:val="58EA3D0E"/>
    <w:rsid w:val="58F71269"/>
    <w:rsid w:val="58FE045E"/>
    <w:rsid w:val="59561946"/>
    <w:rsid w:val="59670F51"/>
    <w:rsid w:val="596A44F9"/>
    <w:rsid w:val="596C19BB"/>
    <w:rsid w:val="59790BDB"/>
    <w:rsid w:val="598653AC"/>
    <w:rsid w:val="599F070B"/>
    <w:rsid w:val="59AC3C86"/>
    <w:rsid w:val="59D42FDA"/>
    <w:rsid w:val="59DA4E01"/>
    <w:rsid w:val="59F64E82"/>
    <w:rsid w:val="5A10435C"/>
    <w:rsid w:val="5A177607"/>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9A2B59"/>
    <w:rsid w:val="5BB20573"/>
    <w:rsid w:val="5BC0085A"/>
    <w:rsid w:val="5BF03D58"/>
    <w:rsid w:val="5C1A6BB2"/>
    <w:rsid w:val="5C5355FE"/>
    <w:rsid w:val="5C6F4105"/>
    <w:rsid w:val="5C8A0D4C"/>
    <w:rsid w:val="5CBB7F6F"/>
    <w:rsid w:val="5D7C3F11"/>
    <w:rsid w:val="5D9D49E0"/>
    <w:rsid w:val="5DDF1821"/>
    <w:rsid w:val="5DEA2F91"/>
    <w:rsid w:val="5E3146A3"/>
    <w:rsid w:val="5E442F62"/>
    <w:rsid w:val="5E6C2C5B"/>
    <w:rsid w:val="5E7251A2"/>
    <w:rsid w:val="5E7C3591"/>
    <w:rsid w:val="5E9D0E18"/>
    <w:rsid w:val="5EA341D7"/>
    <w:rsid w:val="5EA755DE"/>
    <w:rsid w:val="5ED35F0E"/>
    <w:rsid w:val="5EFC1390"/>
    <w:rsid w:val="5EFC3EB6"/>
    <w:rsid w:val="5F0327FE"/>
    <w:rsid w:val="5F03335D"/>
    <w:rsid w:val="5F0368C7"/>
    <w:rsid w:val="5F1544E7"/>
    <w:rsid w:val="5F3C4923"/>
    <w:rsid w:val="5F9A65E6"/>
    <w:rsid w:val="5F9B2627"/>
    <w:rsid w:val="5F9F379F"/>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3253FD"/>
    <w:rsid w:val="61421F29"/>
    <w:rsid w:val="61712185"/>
    <w:rsid w:val="61A90D68"/>
    <w:rsid w:val="621775E2"/>
    <w:rsid w:val="622F7552"/>
    <w:rsid w:val="6250406E"/>
    <w:rsid w:val="627D6831"/>
    <w:rsid w:val="62811B1C"/>
    <w:rsid w:val="62A20409"/>
    <w:rsid w:val="62B54B44"/>
    <w:rsid w:val="62D65BFF"/>
    <w:rsid w:val="62E045DA"/>
    <w:rsid w:val="62E454A1"/>
    <w:rsid w:val="62F36E4C"/>
    <w:rsid w:val="62F47F8F"/>
    <w:rsid w:val="62F7233F"/>
    <w:rsid w:val="6340438B"/>
    <w:rsid w:val="6353238E"/>
    <w:rsid w:val="63612AB8"/>
    <w:rsid w:val="637D0978"/>
    <w:rsid w:val="638968B0"/>
    <w:rsid w:val="638A282C"/>
    <w:rsid w:val="63A3278B"/>
    <w:rsid w:val="63A85E90"/>
    <w:rsid w:val="63A962DB"/>
    <w:rsid w:val="63AB1A91"/>
    <w:rsid w:val="63EE4692"/>
    <w:rsid w:val="63FD622D"/>
    <w:rsid w:val="643F32F9"/>
    <w:rsid w:val="64582686"/>
    <w:rsid w:val="64673C87"/>
    <w:rsid w:val="64A251DD"/>
    <w:rsid w:val="650242F0"/>
    <w:rsid w:val="65542778"/>
    <w:rsid w:val="655829AF"/>
    <w:rsid w:val="656B70C3"/>
    <w:rsid w:val="658F4798"/>
    <w:rsid w:val="659B1EBA"/>
    <w:rsid w:val="65B461E9"/>
    <w:rsid w:val="65BE39A8"/>
    <w:rsid w:val="65FB3FBE"/>
    <w:rsid w:val="66247D11"/>
    <w:rsid w:val="66736112"/>
    <w:rsid w:val="667F5B5B"/>
    <w:rsid w:val="6694262A"/>
    <w:rsid w:val="66990381"/>
    <w:rsid w:val="66B31B01"/>
    <w:rsid w:val="66CE1E80"/>
    <w:rsid w:val="66E362F9"/>
    <w:rsid w:val="66E47FD9"/>
    <w:rsid w:val="67071922"/>
    <w:rsid w:val="673B73C0"/>
    <w:rsid w:val="675608B6"/>
    <w:rsid w:val="67754402"/>
    <w:rsid w:val="677D54ED"/>
    <w:rsid w:val="67B25E27"/>
    <w:rsid w:val="67C4383B"/>
    <w:rsid w:val="67CE06C7"/>
    <w:rsid w:val="67D35E1A"/>
    <w:rsid w:val="67F35317"/>
    <w:rsid w:val="680201B7"/>
    <w:rsid w:val="68362BFB"/>
    <w:rsid w:val="683F1130"/>
    <w:rsid w:val="684456A1"/>
    <w:rsid w:val="685E1363"/>
    <w:rsid w:val="688E1089"/>
    <w:rsid w:val="68A026F3"/>
    <w:rsid w:val="68AF6C13"/>
    <w:rsid w:val="690E07C7"/>
    <w:rsid w:val="69236A65"/>
    <w:rsid w:val="692E469B"/>
    <w:rsid w:val="69305DC8"/>
    <w:rsid w:val="69315C48"/>
    <w:rsid w:val="694019EC"/>
    <w:rsid w:val="69584DB4"/>
    <w:rsid w:val="696C3D80"/>
    <w:rsid w:val="698A5EE4"/>
    <w:rsid w:val="69C811ED"/>
    <w:rsid w:val="69D33070"/>
    <w:rsid w:val="69E97E75"/>
    <w:rsid w:val="69FB5D9E"/>
    <w:rsid w:val="6A1A3007"/>
    <w:rsid w:val="6A1E645E"/>
    <w:rsid w:val="6A417049"/>
    <w:rsid w:val="6A7903E5"/>
    <w:rsid w:val="6AA03032"/>
    <w:rsid w:val="6AA86FEC"/>
    <w:rsid w:val="6ADA6AC4"/>
    <w:rsid w:val="6ADB11D6"/>
    <w:rsid w:val="6B1A2C3C"/>
    <w:rsid w:val="6B31644D"/>
    <w:rsid w:val="6B486C86"/>
    <w:rsid w:val="6B554C72"/>
    <w:rsid w:val="6B68191D"/>
    <w:rsid w:val="6B847AD7"/>
    <w:rsid w:val="6B9A2DF9"/>
    <w:rsid w:val="6BAC4619"/>
    <w:rsid w:val="6BCD2823"/>
    <w:rsid w:val="6BDD15DD"/>
    <w:rsid w:val="6BDF2966"/>
    <w:rsid w:val="6BE86A5F"/>
    <w:rsid w:val="6C083654"/>
    <w:rsid w:val="6C234DED"/>
    <w:rsid w:val="6C29198B"/>
    <w:rsid w:val="6C3A67D1"/>
    <w:rsid w:val="6C3D2D5C"/>
    <w:rsid w:val="6C4800AA"/>
    <w:rsid w:val="6C4D28F8"/>
    <w:rsid w:val="6C573E9C"/>
    <w:rsid w:val="6C6D1126"/>
    <w:rsid w:val="6CA35B3A"/>
    <w:rsid w:val="6CA41A5D"/>
    <w:rsid w:val="6CAF588C"/>
    <w:rsid w:val="6CB4638E"/>
    <w:rsid w:val="6CBF3C6A"/>
    <w:rsid w:val="6CBF4652"/>
    <w:rsid w:val="6CBF5306"/>
    <w:rsid w:val="6CD60EED"/>
    <w:rsid w:val="6CE70FA1"/>
    <w:rsid w:val="6CFA6351"/>
    <w:rsid w:val="6CFC3C40"/>
    <w:rsid w:val="6D480984"/>
    <w:rsid w:val="6DB13E57"/>
    <w:rsid w:val="6DC71662"/>
    <w:rsid w:val="6DCD5126"/>
    <w:rsid w:val="6DDB6CB0"/>
    <w:rsid w:val="6DE52ACD"/>
    <w:rsid w:val="6DFC0B44"/>
    <w:rsid w:val="6E0458E7"/>
    <w:rsid w:val="6E212037"/>
    <w:rsid w:val="6E3B221B"/>
    <w:rsid w:val="6E475779"/>
    <w:rsid w:val="6E7764EF"/>
    <w:rsid w:val="6EAD447C"/>
    <w:rsid w:val="6ECD7F59"/>
    <w:rsid w:val="6EED7C80"/>
    <w:rsid w:val="6EF773A4"/>
    <w:rsid w:val="6F2F2D9E"/>
    <w:rsid w:val="6F4147D9"/>
    <w:rsid w:val="6F615538"/>
    <w:rsid w:val="6F947E4B"/>
    <w:rsid w:val="6FA30BDA"/>
    <w:rsid w:val="6FB80698"/>
    <w:rsid w:val="6FD322D8"/>
    <w:rsid w:val="7024611F"/>
    <w:rsid w:val="70637B96"/>
    <w:rsid w:val="70797317"/>
    <w:rsid w:val="7099044B"/>
    <w:rsid w:val="709D518F"/>
    <w:rsid w:val="70C759D3"/>
    <w:rsid w:val="70CF2B23"/>
    <w:rsid w:val="710952C1"/>
    <w:rsid w:val="71452CD8"/>
    <w:rsid w:val="7158683A"/>
    <w:rsid w:val="715B2F52"/>
    <w:rsid w:val="71764F23"/>
    <w:rsid w:val="71946576"/>
    <w:rsid w:val="71967E84"/>
    <w:rsid w:val="71A61873"/>
    <w:rsid w:val="71AF4936"/>
    <w:rsid w:val="71D75D0F"/>
    <w:rsid w:val="72014C68"/>
    <w:rsid w:val="721919B3"/>
    <w:rsid w:val="721A6098"/>
    <w:rsid w:val="72310D1A"/>
    <w:rsid w:val="725D6B54"/>
    <w:rsid w:val="72A17C99"/>
    <w:rsid w:val="72AF6F7E"/>
    <w:rsid w:val="73047904"/>
    <w:rsid w:val="73460460"/>
    <w:rsid w:val="734C1A6A"/>
    <w:rsid w:val="735C5949"/>
    <w:rsid w:val="73737DA5"/>
    <w:rsid w:val="73887B3E"/>
    <w:rsid w:val="73892412"/>
    <w:rsid w:val="73B246B0"/>
    <w:rsid w:val="73EE4A6E"/>
    <w:rsid w:val="741048BC"/>
    <w:rsid w:val="742E78D4"/>
    <w:rsid w:val="743224A6"/>
    <w:rsid w:val="74676A28"/>
    <w:rsid w:val="747E40B6"/>
    <w:rsid w:val="74AC3224"/>
    <w:rsid w:val="74BB2C83"/>
    <w:rsid w:val="74DE4E5F"/>
    <w:rsid w:val="74EB54AB"/>
    <w:rsid w:val="74FF6D43"/>
    <w:rsid w:val="750201A2"/>
    <w:rsid w:val="751A76AF"/>
    <w:rsid w:val="75250574"/>
    <w:rsid w:val="7550443E"/>
    <w:rsid w:val="755F0BCC"/>
    <w:rsid w:val="756F17F9"/>
    <w:rsid w:val="75825461"/>
    <w:rsid w:val="758B74C3"/>
    <w:rsid w:val="759926FC"/>
    <w:rsid w:val="75A24276"/>
    <w:rsid w:val="75AA231D"/>
    <w:rsid w:val="75B92134"/>
    <w:rsid w:val="75E8633A"/>
    <w:rsid w:val="763F09AA"/>
    <w:rsid w:val="764F3FCC"/>
    <w:rsid w:val="7650339F"/>
    <w:rsid w:val="76603C9A"/>
    <w:rsid w:val="76BB1CAB"/>
    <w:rsid w:val="76C04050"/>
    <w:rsid w:val="76E65049"/>
    <w:rsid w:val="770374F4"/>
    <w:rsid w:val="77076007"/>
    <w:rsid w:val="7729224A"/>
    <w:rsid w:val="77413F7E"/>
    <w:rsid w:val="77835654"/>
    <w:rsid w:val="7797109C"/>
    <w:rsid w:val="779A2A38"/>
    <w:rsid w:val="77B4450A"/>
    <w:rsid w:val="77B46E73"/>
    <w:rsid w:val="77E37A12"/>
    <w:rsid w:val="77FE3468"/>
    <w:rsid w:val="78546F0C"/>
    <w:rsid w:val="78EE1C79"/>
    <w:rsid w:val="797239CC"/>
    <w:rsid w:val="79831473"/>
    <w:rsid w:val="7999527A"/>
    <w:rsid w:val="79AF76C5"/>
    <w:rsid w:val="79C25EE1"/>
    <w:rsid w:val="79CE2967"/>
    <w:rsid w:val="79CF044C"/>
    <w:rsid w:val="79EA664C"/>
    <w:rsid w:val="7A2F459A"/>
    <w:rsid w:val="7A517022"/>
    <w:rsid w:val="7A6F5001"/>
    <w:rsid w:val="7AA2343E"/>
    <w:rsid w:val="7ADA73A4"/>
    <w:rsid w:val="7AE66B99"/>
    <w:rsid w:val="7B0A3BCA"/>
    <w:rsid w:val="7B4048C1"/>
    <w:rsid w:val="7B73082F"/>
    <w:rsid w:val="7BC62E00"/>
    <w:rsid w:val="7BE35E2A"/>
    <w:rsid w:val="7BFA1CC7"/>
    <w:rsid w:val="7BFB70B3"/>
    <w:rsid w:val="7C0251DA"/>
    <w:rsid w:val="7C105077"/>
    <w:rsid w:val="7C1052F2"/>
    <w:rsid w:val="7C2668D9"/>
    <w:rsid w:val="7C32497F"/>
    <w:rsid w:val="7C3C69AE"/>
    <w:rsid w:val="7C4A4A2C"/>
    <w:rsid w:val="7C4C62DD"/>
    <w:rsid w:val="7C691974"/>
    <w:rsid w:val="7C8A6570"/>
    <w:rsid w:val="7C8B7390"/>
    <w:rsid w:val="7C9B0D0E"/>
    <w:rsid w:val="7CA42B03"/>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4E00D8"/>
    <w:rsid w:val="7E6E3E85"/>
    <w:rsid w:val="7E9C184B"/>
    <w:rsid w:val="7EA72948"/>
    <w:rsid w:val="7EB31EDB"/>
    <w:rsid w:val="7ECD6F12"/>
    <w:rsid w:val="7EE70CC0"/>
    <w:rsid w:val="7EEB48DB"/>
    <w:rsid w:val="7EF27444"/>
    <w:rsid w:val="7F173D26"/>
    <w:rsid w:val="7F265C58"/>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keepNext/>
      <w:keepLines/>
      <w:spacing w:before="340" w:after="330" w:line="576" w:lineRule="auto"/>
      <w:outlineLvl w:val="0"/>
    </w:pPr>
    <w:rPr>
      <w:b/>
      <w:bCs/>
      <w:kern w:val="44"/>
      <w:sz w:val="44"/>
      <w:szCs w:val="44"/>
    </w:rPr>
  </w:style>
  <w:style w:type="paragraph" w:styleId="10">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11">
    <w:name w:val="heading 3"/>
    <w:basedOn w:val="1"/>
    <w:next w:val="1"/>
    <w:qFormat/>
    <w:uiPriority w:val="0"/>
    <w:pPr>
      <w:keepNext/>
      <w:keepLines/>
      <w:spacing w:before="260" w:after="260" w:line="416" w:lineRule="auto"/>
      <w:outlineLvl w:val="2"/>
    </w:pPr>
    <w:rPr>
      <w:b/>
      <w:bCs/>
      <w:sz w:val="32"/>
      <w:szCs w:val="32"/>
    </w:rPr>
  </w:style>
  <w:style w:type="paragraph" w:styleId="12">
    <w:name w:val="heading 4"/>
    <w:basedOn w:val="1"/>
    <w:next w:val="1"/>
    <w:qFormat/>
    <w:uiPriority w:val="0"/>
    <w:pPr>
      <w:keepNext/>
      <w:keepLines/>
      <w:spacing w:line="360" w:lineRule="auto"/>
      <w:outlineLvl w:val="3"/>
    </w:pPr>
    <w:rPr>
      <w:rFonts w:ascii="Arial" w:hAnsi="Arial"/>
      <w:b/>
      <w:bCs/>
      <w:szCs w:val="28"/>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link w:val="72"/>
    <w:qFormat/>
    <w:uiPriority w:val="0"/>
  </w:style>
  <w:style w:type="paragraph" w:customStyle="1" w:styleId="4">
    <w:name w:val="Default"/>
    <w:next w:val="5"/>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
    <w:name w:val="大标题"/>
    <w:basedOn w:val="1"/>
    <w:next w:val="6"/>
    <w:qFormat/>
    <w:uiPriority w:val="0"/>
    <w:pPr>
      <w:jc w:val="center"/>
    </w:pPr>
    <w:rPr>
      <w:rFonts w:ascii="Arial" w:hAnsi="Arial"/>
      <w:b/>
      <w:sz w:val="28"/>
    </w:rPr>
  </w:style>
  <w:style w:type="paragraph" w:styleId="6">
    <w:name w:val="Body Text First Indent 2"/>
    <w:basedOn w:val="7"/>
    <w:next w:val="9"/>
    <w:qFormat/>
    <w:uiPriority w:val="0"/>
    <w:pPr>
      <w:ind w:firstLine="420" w:firstLineChars="200"/>
    </w:pPr>
  </w:style>
  <w:style w:type="paragraph" w:styleId="7">
    <w:name w:val="Body Text Indent"/>
    <w:basedOn w:val="1"/>
    <w:next w:val="8"/>
    <w:qFormat/>
    <w:uiPriority w:val="0"/>
    <w:pPr>
      <w:widowControl/>
      <w:spacing w:beforeAutospacing="1" w:afterAutospacing="1"/>
      <w:jc w:val="left"/>
    </w:pPr>
    <w:rPr>
      <w:rFonts w:ascii="宋体" w:hAnsi="宋体" w:cs="宋体"/>
      <w:kern w:val="0"/>
      <w:sz w:val="24"/>
    </w:rPr>
  </w:style>
  <w:style w:type="paragraph" w:styleId="8">
    <w:name w:val="envelope return"/>
    <w:basedOn w:val="1"/>
    <w:unhideWhenUsed/>
    <w:qFormat/>
    <w:uiPriority w:val="99"/>
    <w:pPr>
      <w:snapToGrid w:val="0"/>
    </w:pPr>
    <w:rPr>
      <w:rFonts w:ascii="Arial" w:hAnsi="Arial"/>
    </w:rPr>
  </w:style>
  <w:style w:type="paragraph" w:customStyle="1" w:styleId="9">
    <w:name w:val="样式 正文首行缩进 2 + Arial"/>
    <w:basedOn w:val="1"/>
    <w:next w:val="1"/>
    <w:qFormat/>
    <w:uiPriority w:val="0"/>
    <w:pPr>
      <w:spacing w:after="120" w:line="320" w:lineRule="atLeast"/>
      <w:ind w:firstLine="200" w:firstLineChars="200"/>
    </w:pPr>
    <w:rPr>
      <w:rFonts w:ascii="Arial" w:hAnsi="Arial"/>
      <w:kern w:val="0"/>
    </w:rPr>
  </w:style>
  <w:style w:type="paragraph" w:styleId="13">
    <w:name w:val="List Number"/>
    <w:basedOn w:val="1"/>
    <w:qFormat/>
    <w:uiPriority w:val="0"/>
    <w:pPr>
      <w:widowControl/>
      <w:spacing w:beforeAutospacing="1" w:afterAutospacing="1"/>
      <w:jc w:val="left"/>
    </w:pPr>
    <w:rPr>
      <w:rFonts w:ascii="宋体" w:hAnsi="宋体" w:cs="宋体"/>
      <w:kern w:val="0"/>
      <w:sz w:val="24"/>
    </w:rPr>
  </w:style>
  <w:style w:type="paragraph" w:styleId="14">
    <w:name w:val="Normal Indent"/>
    <w:basedOn w:val="1"/>
    <w:qFormat/>
    <w:uiPriority w:val="0"/>
    <w:pPr>
      <w:widowControl/>
      <w:spacing w:beforeAutospacing="1" w:afterAutospacing="1"/>
      <w:jc w:val="left"/>
    </w:pPr>
    <w:rPr>
      <w:rFonts w:ascii="宋体" w:hAnsi="宋体" w:cs="宋体"/>
      <w:kern w:val="0"/>
      <w:sz w:val="24"/>
    </w:rPr>
  </w:style>
  <w:style w:type="paragraph" w:styleId="15">
    <w:name w:val="Document Map"/>
    <w:basedOn w:val="1"/>
    <w:link w:val="74"/>
    <w:qFormat/>
    <w:uiPriority w:val="0"/>
    <w:rPr>
      <w:rFonts w:ascii="宋体" w:hAnsi="Calibri"/>
      <w:sz w:val="18"/>
      <w:szCs w:val="18"/>
    </w:rPr>
  </w:style>
  <w:style w:type="paragraph" w:styleId="16">
    <w:name w:val="annotation text"/>
    <w:basedOn w:val="1"/>
    <w:qFormat/>
    <w:uiPriority w:val="0"/>
    <w:pPr>
      <w:jc w:val="left"/>
    </w:pPr>
  </w:style>
  <w:style w:type="paragraph" w:styleId="17">
    <w:name w:val="Body Text 3"/>
    <w:basedOn w:val="1"/>
    <w:qFormat/>
    <w:uiPriority w:val="0"/>
    <w:rPr>
      <w:sz w:val="16"/>
      <w:szCs w:val="16"/>
    </w:rPr>
  </w:style>
  <w:style w:type="paragraph" w:styleId="18">
    <w:name w:val="List 2"/>
    <w:basedOn w:val="1"/>
    <w:qFormat/>
    <w:uiPriority w:val="0"/>
    <w:pPr>
      <w:ind w:left="100" w:leftChars="200" w:hanging="200" w:hangingChars="200"/>
    </w:pPr>
  </w:style>
  <w:style w:type="paragraph" w:styleId="19">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20">
    <w:name w:val="toc 3"/>
    <w:basedOn w:val="1"/>
    <w:next w:val="1"/>
    <w:qFormat/>
    <w:uiPriority w:val="0"/>
    <w:pPr>
      <w:tabs>
        <w:tab w:val="left" w:pos="709"/>
        <w:tab w:val="right" w:leader="dot" w:pos="8789"/>
      </w:tabs>
      <w:spacing w:line="400" w:lineRule="atLeast"/>
    </w:pPr>
    <w:rPr>
      <w:rFonts w:ascii="宋体"/>
      <w:kern w:val="0"/>
      <w:szCs w:val="20"/>
    </w:rPr>
  </w:style>
  <w:style w:type="paragraph" w:styleId="21">
    <w:name w:val="Plain Text"/>
    <w:basedOn w:val="1"/>
    <w:qFormat/>
    <w:uiPriority w:val="0"/>
    <w:pPr>
      <w:widowControl/>
      <w:spacing w:beforeAutospacing="1" w:afterAutospacing="1"/>
      <w:jc w:val="left"/>
    </w:pPr>
    <w:rPr>
      <w:rFonts w:ascii="宋体" w:hAnsi="宋体" w:cs="宋体"/>
      <w:kern w:val="0"/>
      <w:sz w:val="24"/>
    </w:rPr>
  </w:style>
  <w:style w:type="paragraph" w:styleId="22">
    <w:name w:val="Date"/>
    <w:basedOn w:val="1"/>
    <w:next w:val="1"/>
    <w:qFormat/>
    <w:uiPriority w:val="0"/>
    <w:pPr>
      <w:ind w:left="100" w:leftChars="2500"/>
    </w:pPr>
    <w:rPr>
      <w:rFonts w:ascii="宋体" w:hAnsi="宋体"/>
      <w:sz w:val="28"/>
    </w:rPr>
  </w:style>
  <w:style w:type="paragraph" w:styleId="23">
    <w:name w:val="Body Text Indent 2"/>
    <w:basedOn w:val="1"/>
    <w:qFormat/>
    <w:uiPriority w:val="0"/>
    <w:pPr>
      <w:spacing w:line="480" w:lineRule="auto"/>
      <w:ind w:left="420" w:leftChars="200"/>
    </w:pPr>
  </w:style>
  <w:style w:type="paragraph" w:styleId="24">
    <w:name w:val="footer"/>
    <w:basedOn w:val="1"/>
    <w:qFormat/>
    <w:uiPriority w:val="0"/>
    <w:pPr>
      <w:tabs>
        <w:tab w:val="center" w:pos="4153"/>
        <w:tab w:val="right" w:pos="8306"/>
      </w:tabs>
      <w:snapToGrid w:val="0"/>
      <w:jc w:val="left"/>
    </w:pPr>
    <w:rPr>
      <w:sz w:val="18"/>
      <w:szCs w:val="18"/>
    </w:rPr>
  </w:style>
  <w:style w:type="paragraph" w:styleId="2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qFormat/>
    <w:uiPriority w:val="0"/>
  </w:style>
  <w:style w:type="paragraph" w:styleId="27">
    <w:name w:val="List"/>
    <w:basedOn w:val="1"/>
    <w:qFormat/>
    <w:uiPriority w:val="0"/>
    <w:pPr>
      <w:ind w:left="200" w:hanging="200" w:hangingChars="200"/>
    </w:pPr>
  </w:style>
  <w:style w:type="paragraph" w:styleId="28">
    <w:name w:val="Body Text 2"/>
    <w:basedOn w:val="1"/>
    <w:next w:val="3"/>
    <w:qFormat/>
    <w:uiPriority w:val="0"/>
    <w:pPr>
      <w:spacing w:line="480" w:lineRule="auto"/>
    </w:pPr>
  </w:style>
  <w:style w:type="paragraph" w:styleId="29">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3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1">
    <w:name w:val="Normal (Web)"/>
    <w:basedOn w:val="1"/>
    <w:qFormat/>
    <w:uiPriority w:val="99"/>
    <w:pPr>
      <w:spacing w:before="100" w:beforeAutospacing="1" w:after="100" w:afterAutospacing="1"/>
      <w:jc w:val="left"/>
    </w:pPr>
    <w:rPr>
      <w:kern w:val="0"/>
      <w:sz w:val="24"/>
    </w:rPr>
  </w:style>
  <w:style w:type="paragraph" w:styleId="32">
    <w:name w:val="Title"/>
    <w:basedOn w:val="1"/>
    <w:qFormat/>
    <w:uiPriority w:val="0"/>
    <w:pPr>
      <w:jc w:val="center"/>
      <w:outlineLvl w:val="0"/>
    </w:pPr>
    <w:rPr>
      <w:rFonts w:ascii="Arial" w:hAnsi="Arial" w:cs="Arial"/>
      <w:b/>
      <w:bCs/>
      <w:sz w:val="32"/>
      <w:szCs w:val="32"/>
    </w:rPr>
  </w:style>
  <w:style w:type="paragraph" w:styleId="33">
    <w:name w:val="Body Text First Indent"/>
    <w:basedOn w:val="3"/>
    <w:next w:val="1"/>
    <w:qFormat/>
    <w:uiPriority w:val="0"/>
    <w:pPr>
      <w:spacing w:line="360" w:lineRule="auto"/>
      <w:ind w:firstLine="420" w:firstLineChars="100"/>
    </w:pPr>
    <w:rPr>
      <w:szCs w:val="21"/>
    </w:rPr>
  </w:style>
  <w:style w:type="table" w:styleId="35">
    <w:name w:val="Table Grid"/>
    <w:basedOn w:val="34"/>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qFormat/>
    <w:uiPriority w:val="0"/>
    <w:rPr>
      <w:b/>
      <w:bCs/>
      <w:szCs w:val="24"/>
    </w:rPr>
  </w:style>
  <w:style w:type="character" w:styleId="38">
    <w:name w:val="page number"/>
    <w:basedOn w:val="36"/>
    <w:qFormat/>
    <w:uiPriority w:val="0"/>
  </w:style>
  <w:style w:type="character" w:styleId="39">
    <w:name w:val="FollowedHyperlink"/>
    <w:qFormat/>
    <w:uiPriority w:val="0"/>
    <w:rPr>
      <w:color w:val="333333"/>
      <w:szCs w:val="24"/>
      <w:u w:val="none"/>
    </w:rPr>
  </w:style>
  <w:style w:type="character" w:styleId="40">
    <w:name w:val="Emphasis"/>
    <w:basedOn w:val="36"/>
    <w:qFormat/>
    <w:uiPriority w:val="0"/>
  </w:style>
  <w:style w:type="character" w:styleId="41">
    <w:name w:val="HTML Definition"/>
    <w:basedOn w:val="36"/>
    <w:qFormat/>
    <w:uiPriority w:val="0"/>
  </w:style>
  <w:style w:type="character" w:styleId="42">
    <w:name w:val="HTML Typewriter"/>
    <w:basedOn w:val="36"/>
    <w:qFormat/>
    <w:uiPriority w:val="0"/>
    <w:rPr>
      <w:rFonts w:hint="default" w:ascii="monospace" w:hAnsi="monospace" w:eastAsia="monospace" w:cs="monospace"/>
      <w:sz w:val="20"/>
    </w:rPr>
  </w:style>
  <w:style w:type="character" w:styleId="43">
    <w:name w:val="HTML Acronym"/>
    <w:basedOn w:val="36"/>
    <w:qFormat/>
    <w:uiPriority w:val="0"/>
  </w:style>
  <w:style w:type="character" w:styleId="44">
    <w:name w:val="HTML Variable"/>
    <w:basedOn w:val="36"/>
    <w:qFormat/>
    <w:uiPriority w:val="0"/>
  </w:style>
  <w:style w:type="character" w:styleId="45">
    <w:name w:val="Hyperlink"/>
    <w:basedOn w:val="36"/>
    <w:qFormat/>
    <w:uiPriority w:val="0"/>
    <w:rPr>
      <w:color w:val="333333"/>
      <w:szCs w:val="24"/>
      <w:u w:val="none"/>
    </w:rPr>
  </w:style>
  <w:style w:type="character" w:styleId="46">
    <w:name w:val="HTML Code"/>
    <w:basedOn w:val="36"/>
    <w:qFormat/>
    <w:uiPriority w:val="0"/>
    <w:rPr>
      <w:rFonts w:ascii="monospace" w:hAnsi="monospace" w:eastAsia="monospace" w:cs="monospace"/>
      <w:sz w:val="20"/>
    </w:rPr>
  </w:style>
  <w:style w:type="character" w:styleId="47">
    <w:name w:val="HTML Cite"/>
    <w:basedOn w:val="36"/>
    <w:qFormat/>
    <w:uiPriority w:val="0"/>
  </w:style>
  <w:style w:type="character" w:styleId="48">
    <w:name w:val="HTML Keyboard"/>
    <w:basedOn w:val="36"/>
    <w:qFormat/>
    <w:uiPriority w:val="0"/>
    <w:rPr>
      <w:rFonts w:hint="default" w:ascii="monospace" w:hAnsi="monospace" w:eastAsia="monospace" w:cs="monospace"/>
      <w:sz w:val="20"/>
    </w:rPr>
  </w:style>
  <w:style w:type="character" w:styleId="49">
    <w:name w:val="HTML Sample"/>
    <w:basedOn w:val="36"/>
    <w:qFormat/>
    <w:uiPriority w:val="0"/>
    <w:rPr>
      <w:rFonts w:hint="default" w:ascii="monospace" w:hAnsi="monospace" w:eastAsia="monospace" w:cs="monospace"/>
    </w:rPr>
  </w:style>
  <w:style w:type="paragraph" w:customStyle="1" w:styleId="50">
    <w:name w:val="No Spacing1"/>
    <w:basedOn w:val="1"/>
    <w:qFormat/>
    <w:uiPriority w:val="0"/>
    <w:pPr>
      <w:spacing w:line="400" w:lineRule="exact"/>
    </w:pPr>
    <w:rPr>
      <w:sz w:val="24"/>
    </w:rPr>
  </w:style>
  <w:style w:type="paragraph" w:customStyle="1" w:styleId="51">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2">
    <w:name w:val="Char"/>
    <w:basedOn w:val="1"/>
    <w:qFormat/>
    <w:uiPriority w:val="0"/>
  </w:style>
  <w:style w:type="paragraph" w:customStyle="1" w:styleId="53">
    <w:name w:val="正文缩进1"/>
    <w:basedOn w:val="1"/>
    <w:qFormat/>
    <w:uiPriority w:val="0"/>
    <w:pPr>
      <w:widowControl/>
      <w:ind w:firstLine="420"/>
      <w:jc w:val="left"/>
    </w:pPr>
    <w:rPr>
      <w:kern w:val="0"/>
      <w:szCs w:val="20"/>
    </w:rPr>
  </w:style>
  <w:style w:type="paragraph" w:customStyle="1" w:styleId="54">
    <w:name w:val="列出段落2"/>
    <w:basedOn w:val="1"/>
    <w:qFormat/>
    <w:uiPriority w:val="34"/>
    <w:pPr>
      <w:ind w:firstLine="420" w:firstLineChars="200"/>
    </w:pPr>
  </w:style>
  <w:style w:type="paragraph" w:customStyle="1" w:styleId="55">
    <w:name w:val="plaintext"/>
    <w:basedOn w:val="1"/>
    <w:qFormat/>
    <w:uiPriority w:val="0"/>
    <w:pPr>
      <w:widowControl/>
      <w:spacing w:beforeAutospacing="1" w:afterAutospacing="1"/>
      <w:jc w:val="left"/>
    </w:pPr>
    <w:rPr>
      <w:rFonts w:ascii="宋体" w:hAnsi="宋体" w:cs="宋体"/>
      <w:kern w:val="0"/>
      <w:sz w:val="24"/>
    </w:rPr>
  </w:style>
  <w:style w:type="paragraph" w:customStyle="1" w:styleId="56">
    <w:name w:val="1"/>
    <w:basedOn w:val="1"/>
    <w:qFormat/>
    <w:uiPriority w:val="0"/>
    <w:pPr>
      <w:widowControl/>
      <w:spacing w:beforeAutospacing="1" w:afterAutospacing="1"/>
      <w:jc w:val="left"/>
    </w:pPr>
    <w:rPr>
      <w:rFonts w:ascii="宋体" w:hAnsi="宋体" w:cs="宋体"/>
      <w:kern w:val="0"/>
      <w:sz w:val="24"/>
    </w:rPr>
  </w:style>
  <w:style w:type="paragraph" w:styleId="57">
    <w:name w:val="No Spacing"/>
    <w:qFormat/>
    <w:uiPriority w:val="1"/>
    <w:rPr>
      <w:rFonts w:ascii="Calibri" w:hAnsi="Calibri" w:eastAsia="宋体" w:cs="Times New Roman"/>
      <w:sz w:val="22"/>
      <w:szCs w:val="22"/>
      <w:lang w:val="en-US" w:eastAsia="zh-CN" w:bidi="ar-SA"/>
    </w:rPr>
  </w:style>
  <w:style w:type="paragraph" w:customStyle="1" w:styleId="58">
    <w:name w:val="_Style 2"/>
    <w:basedOn w:val="1"/>
    <w:qFormat/>
    <w:uiPriority w:val="34"/>
    <w:pPr>
      <w:ind w:firstLine="420" w:firstLineChars="200"/>
    </w:pPr>
    <w:rPr>
      <w:rFonts w:ascii="Calibri" w:hAnsi="Calibri"/>
    </w:rPr>
  </w:style>
  <w:style w:type="paragraph" w:customStyle="1" w:styleId="59">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0">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1">
    <w:name w:val="Char1"/>
    <w:basedOn w:val="1"/>
    <w:qFormat/>
    <w:uiPriority w:val="0"/>
  </w:style>
  <w:style w:type="paragraph" w:customStyle="1" w:styleId="62">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3">
    <w:name w:val="Table Paragraph"/>
    <w:basedOn w:val="1"/>
    <w:qFormat/>
    <w:uiPriority w:val="1"/>
    <w:pPr>
      <w:jc w:val="left"/>
    </w:pPr>
    <w:rPr>
      <w:rFonts w:ascii="宋体" w:hAnsi="宋体" w:cs="宋体"/>
      <w:kern w:val="0"/>
      <w:sz w:val="22"/>
      <w:szCs w:val="22"/>
      <w:lang w:eastAsia="en-US"/>
    </w:rPr>
  </w:style>
  <w:style w:type="paragraph" w:customStyle="1" w:styleId="64">
    <w:name w:val="无间隔1"/>
    <w:basedOn w:val="1"/>
    <w:qFormat/>
    <w:uiPriority w:val="1"/>
    <w:pPr>
      <w:spacing w:line="400" w:lineRule="exact"/>
    </w:pPr>
    <w:rPr>
      <w:sz w:val="24"/>
    </w:rPr>
  </w:style>
  <w:style w:type="paragraph" w:customStyle="1" w:styleId="65">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6">
    <w:name w:val="3"/>
    <w:basedOn w:val="1"/>
    <w:qFormat/>
    <w:uiPriority w:val="0"/>
    <w:pPr>
      <w:widowControl/>
      <w:spacing w:beforeAutospacing="1" w:afterAutospacing="1"/>
      <w:jc w:val="left"/>
    </w:pPr>
    <w:rPr>
      <w:rFonts w:ascii="宋体" w:hAnsi="宋体" w:cs="宋体"/>
      <w:kern w:val="0"/>
      <w:sz w:val="24"/>
    </w:rPr>
  </w:style>
  <w:style w:type="paragraph" w:customStyle="1" w:styleId="67">
    <w:name w:val="列出段落1"/>
    <w:basedOn w:val="1"/>
    <w:qFormat/>
    <w:uiPriority w:val="34"/>
    <w:pPr>
      <w:ind w:firstLine="420" w:firstLineChars="200"/>
    </w:pPr>
  </w:style>
  <w:style w:type="paragraph" w:customStyle="1" w:styleId="68">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69">
    <w:name w:val="a0"/>
    <w:basedOn w:val="1"/>
    <w:qFormat/>
    <w:uiPriority w:val="0"/>
    <w:pPr>
      <w:widowControl/>
      <w:spacing w:beforeAutospacing="1" w:afterAutospacing="1"/>
      <w:jc w:val="left"/>
    </w:pPr>
    <w:rPr>
      <w:rFonts w:ascii="宋体" w:hAnsi="宋体" w:cs="宋体"/>
      <w:kern w:val="0"/>
      <w:sz w:val="24"/>
    </w:rPr>
  </w:style>
  <w:style w:type="paragraph" w:customStyle="1" w:styleId="70">
    <w:name w:val="default"/>
    <w:basedOn w:val="1"/>
    <w:qFormat/>
    <w:uiPriority w:val="0"/>
    <w:pPr>
      <w:widowControl/>
      <w:spacing w:beforeAutospacing="1" w:afterAutospacing="1"/>
      <w:jc w:val="left"/>
    </w:pPr>
    <w:rPr>
      <w:rFonts w:ascii="宋体" w:hAnsi="宋体" w:cs="宋体"/>
      <w:kern w:val="0"/>
      <w:sz w:val="24"/>
    </w:rPr>
  </w:style>
  <w:style w:type="paragraph" w:customStyle="1" w:styleId="71">
    <w:name w:val="列出段落11"/>
    <w:basedOn w:val="1"/>
    <w:qFormat/>
    <w:uiPriority w:val="0"/>
    <w:pPr>
      <w:ind w:firstLine="420" w:firstLineChars="200"/>
    </w:pPr>
    <w:rPr>
      <w:rFonts w:ascii="Calibri" w:hAnsi="Calibri"/>
      <w:szCs w:val="22"/>
    </w:rPr>
  </w:style>
  <w:style w:type="character" w:customStyle="1" w:styleId="72">
    <w:name w:val="正文文本 Char"/>
    <w:basedOn w:val="36"/>
    <w:link w:val="3"/>
    <w:qFormat/>
    <w:uiPriority w:val="0"/>
  </w:style>
  <w:style w:type="character" w:customStyle="1" w:styleId="73">
    <w:name w:val="apple-converted-space"/>
    <w:basedOn w:val="36"/>
    <w:qFormat/>
    <w:uiPriority w:val="0"/>
  </w:style>
  <w:style w:type="character" w:customStyle="1" w:styleId="74">
    <w:name w:val="文档结构图 Char"/>
    <w:link w:val="15"/>
    <w:qFormat/>
    <w:uiPriority w:val="0"/>
    <w:rPr>
      <w:rFonts w:ascii="宋体"/>
      <w:kern w:val="2"/>
      <w:sz w:val="18"/>
      <w:szCs w:val="18"/>
    </w:rPr>
  </w:style>
  <w:style w:type="character" w:customStyle="1" w:styleId="75">
    <w:name w:val="不明显强调1"/>
    <w:qFormat/>
    <w:uiPriority w:val="19"/>
    <w:rPr>
      <w:i/>
      <w:iCs/>
      <w:color w:val="7F7F7F"/>
      <w:szCs w:val="24"/>
    </w:rPr>
  </w:style>
  <w:style w:type="character" w:customStyle="1" w:styleId="76">
    <w:name w:val="font71"/>
    <w:qFormat/>
    <w:uiPriority w:val="0"/>
    <w:rPr>
      <w:rFonts w:hint="eastAsia" w:ascii="宋体" w:hAnsi="宋体" w:eastAsia="宋体" w:cs="宋体"/>
      <w:color w:val="000000"/>
      <w:sz w:val="28"/>
      <w:szCs w:val="28"/>
      <w:u w:val="none"/>
    </w:rPr>
  </w:style>
  <w:style w:type="character" w:customStyle="1" w:styleId="77">
    <w:name w:val="font21"/>
    <w:qFormat/>
    <w:uiPriority w:val="0"/>
    <w:rPr>
      <w:rFonts w:hint="default" w:ascii="Calibri" w:hAnsi="Calibri" w:cs="Calibri"/>
      <w:color w:val="000000"/>
      <w:sz w:val="28"/>
      <w:szCs w:val="28"/>
      <w:u w:val="none"/>
    </w:rPr>
  </w:style>
  <w:style w:type="character" w:customStyle="1" w:styleId="78">
    <w:name w:val="17"/>
    <w:qFormat/>
    <w:uiPriority w:val="0"/>
    <w:rPr>
      <w:rFonts w:hint="eastAsia" w:ascii="宋体" w:hAnsi="宋体" w:eastAsia="宋体"/>
      <w:color w:val="000000"/>
    </w:rPr>
  </w:style>
  <w:style w:type="character" w:customStyle="1" w:styleId="79">
    <w:name w:val="font91"/>
    <w:qFormat/>
    <w:uiPriority w:val="0"/>
    <w:rPr>
      <w:rFonts w:hint="eastAsia" w:ascii="宋体" w:hAnsi="宋体" w:eastAsia="宋体" w:cs="宋体"/>
      <w:color w:val="FF0000"/>
      <w:sz w:val="28"/>
      <w:szCs w:val="28"/>
      <w:u w:val="none"/>
    </w:rPr>
  </w:style>
  <w:style w:type="paragraph" w:customStyle="1" w:styleId="80">
    <w:name w:val="p"/>
    <w:basedOn w:val="1"/>
    <w:qFormat/>
    <w:uiPriority w:val="0"/>
    <w:pPr>
      <w:widowControl/>
      <w:spacing w:line="432" w:lineRule="auto"/>
      <w:jc w:val="left"/>
    </w:pPr>
    <w:rPr>
      <w:rFonts w:ascii="宋体" w:hAnsi="宋体" w:cs="宋体"/>
      <w:kern w:val="0"/>
      <w:sz w:val="24"/>
    </w:rPr>
  </w:style>
  <w:style w:type="paragraph" w:customStyle="1" w:styleId="81">
    <w:name w:val="WPSOffice手动目录 1"/>
    <w:qFormat/>
    <w:uiPriority w:val="0"/>
    <w:rPr>
      <w:rFonts w:ascii="Times New Roman" w:hAnsi="Times New Roman" w:eastAsia="宋体" w:cs="Times New Roman"/>
      <w:lang w:val="en-US" w:eastAsia="zh-CN" w:bidi="ar-SA"/>
    </w:rPr>
  </w:style>
  <w:style w:type="paragraph" w:customStyle="1" w:styleId="82">
    <w:name w:val="*正文_1"/>
    <w:basedOn w:val="1"/>
    <w:next w:val="1"/>
    <w:qFormat/>
    <w:uiPriority w:val="0"/>
    <w:pPr>
      <w:widowControl/>
      <w:ind w:firstLine="482"/>
    </w:pPr>
    <w:rPr>
      <w:rFonts w:ascii="微软雅黑" w:hAnsi="微软雅黑" w:eastAsia="微软雅黑"/>
      <w:kern w:val="0"/>
      <w:szCs w:val="20"/>
    </w:rPr>
  </w:style>
  <w:style w:type="paragraph" w:customStyle="1" w:styleId="83">
    <w:name w:val="表格文字"/>
    <w:basedOn w:val="1"/>
    <w:next w:val="3"/>
    <w:qFormat/>
    <w:uiPriority w:val="0"/>
    <w:pPr>
      <w:adjustRightInd w:val="0"/>
      <w:spacing w:line="420" w:lineRule="atLeast"/>
      <w:jc w:val="left"/>
      <w:textAlignment w:val="baseline"/>
    </w:pPr>
    <w:rPr>
      <w:kern w:val="0"/>
      <w:szCs w:val="20"/>
    </w:rPr>
  </w:style>
  <w:style w:type="character" w:customStyle="1" w:styleId="84">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5">
    <w:name w:val="列表段落1"/>
    <w:basedOn w:val="1"/>
    <w:qFormat/>
    <w:uiPriority w:val="34"/>
    <w:pPr>
      <w:widowControl/>
      <w:ind w:firstLine="420"/>
      <w:jc w:val="left"/>
    </w:pPr>
    <w:rPr>
      <w:kern w:val="0"/>
    </w:rPr>
  </w:style>
  <w:style w:type="paragraph" w:styleId="86">
    <w:name w:val="List Paragraph"/>
    <w:basedOn w:val="1"/>
    <w:qFormat/>
    <w:uiPriority w:val="34"/>
    <w:pPr>
      <w:ind w:firstLine="420" w:firstLineChars="200"/>
    </w:pPr>
  </w:style>
  <w:style w:type="character" w:customStyle="1" w:styleId="87">
    <w:name w:val="hover18"/>
    <w:basedOn w:val="36"/>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30</Pages>
  <Words>14912</Words>
  <Characters>15654</Characters>
  <Lines>50</Lines>
  <Paragraphs>68</Paragraphs>
  <TotalTime>1</TotalTime>
  <ScaleCrop>false</ScaleCrop>
  <LinksUpToDate>false</LinksUpToDate>
  <CharactersWithSpaces>16456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2022-11-04T02:05:18Z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562A285641654D2EA086C4325B3B203C</vt:lpwstr>
  </property>
</Properties>
</file>