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8"/>
          <w:szCs w:val="48"/>
          <w:lang w:val="en-US" w:eastAsia="zh-CN"/>
        </w:rPr>
      </w:pPr>
      <w:r>
        <w:rPr>
          <w:rFonts w:hint="eastAsia" w:cs="宋体"/>
          <w:b/>
          <w:bCs/>
          <w:sz w:val="48"/>
          <w:szCs w:val="48"/>
          <w:lang w:val="en-US" w:eastAsia="zh-CN"/>
        </w:rPr>
        <w:t>经皮肾镜、输尿管镜等硬式内窥镜维保</w:t>
      </w:r>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采购项目</w:t>
      </w: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经皮肾镜、输尿管镜等硬式内窥镜维保采购项目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经皮肾镜、输尿管镜等硬式内窥镜维保采购项目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233000元，自筹资金；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7913"/>
      <w:bookmarkStart w:id="5" w:name="_Toc19521"/>
      <w:bookmarkStart w:id="6" w:name="_Toc26079"/>
      <w:bookmarkStart w:id="7" w:name="_Toc24040"/>
      <w:bookmarkStart w:id="8" w:name="_Toc2107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3626"/>
      <w:bookmarkStart w:id="10" w:name="_Toc18607"/>
      <w:bookmarkStart w:id="11" w:name="_Toc27704"/>
      <w:bookmarkStart w:id="12" w:name="_Toc16639"/>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30643"/>
      <w:bookmarkStart w:id="14" w:name="_Toc7823"/>
      <w:bookmarkStart w:id="15" w:name="_Toc23395"/>
      <w:bookmarkStart w:id="16" w:name="_Toc9562"/>
      <w:bookmarkStart w:id="17" w:name="_Toc30971"/>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7</w:t>
      </w:r>
      <w:r>
        <w:rPr>
          <w:rFonts w:hint="eastAsia" w:ascii="宋体" w:hAnsi="宋体" w:eastAsia="宋体" w:cs="宋体"/>
          <w:color w:val="auto"/>
          <w:szCs w:val="21"/>
          <w:highlight w:val="yellow"/>
          <w:shd w:val="clear" w:color="auto" w:fill="FFFFFF"/>
        </w:rPr>
        <w:t>日-202</w:t>
      </w:r>
      <w:r>
        <w:rPr>
          <w:rFonts w:hint="eastAsia" w:ascii="宋体" w:hAnsi="宋体" w:eastAsia="宋体" w:cs="宋体"/>
          <w:color w:val="auto"/>
          <w:szCs w:val="21"/>
          <w:highlight w:val="yellow"/>
          <w:shd w:val="clear" w:color="auto" w:fill="FFFFFF"/>
          <w:lang w:val="en-US" w:eastAsia="zh-CN"/>
        </w:rPr>
        <w:t>2</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9</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15111"/>
      <w:bookmarkStart w:id="19" w:name="_Toc25869"/>
      <w:bookmarkStart w:id="20" w:name="_Toc27480"/>
      <w:bookmarkStart w:id="21" w:name="_Toc10738"/>
      <w:bookmarkStart w:id="22" w:name="_Toc15135"/>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0287"/>
      <w:bookmarkStart w:id="24" w:name="_Toc29784"/>
      <w:bookmarkStart w:id="25" w:name="_Toc6523"/>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604"/>
      <w:bookmarkStart w:id="30" w:name="_Toc27370"/>
      <w:bookmarkStart w:id="31" w:name="_Toc24274"/>
      <w:bookmarkStart w:id="32" w:name="_Toc31928"/>
      <w:bookmarkStart w:id="33"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0"/>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11</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4</w:t>
      </w:r>
      <w:r>
        <w:rPr>
          <w:rFonts w:hint="eastAsia" w:ascii="宋体" w:hAnsi="宋体" w:eastAsia="宋体" w:cs="宋体"/>
          <w:kern w:val="0"/>
          <w:sz w:val="21"/>
          <w:szCs w:val="21"/>
          <w:highlight w:val="yellow"/>
          <w:shd w:val="clear" w:color="auto" w:fill="FFFFFF"/>
          <w:lang w:val="en-US" w:eastAsia="zh-CN" w:bidi="ar-SA"/>
        </w:rPr>
        <w:t>日</w:t>
      </w:r>
    </w:p>
    <w:p>
      <w:pPr>
        <w:rPr>
          <w:b/>
          <w:bCs/>
          <w:color w:val="auto"/>
          <w:sz w:val="24"/>
          <w:highlight w:val="none"/>
        </w:rPr>
      </w:pPr>
      <w:r>
        <w:rPr>
          <w:rFonts w:hint="eastAsia"/>
          <w:b/>
          <w:bCs/>
          <w:color w:val="auto"/>
          <w:sz w:val="24"/>
          <w:highlight w:val="none"/>
        </w:rPr>
        <w:br w:type="page"/>
      </w:r>
    </w:p>
    <w:bookmarkEnd w:id="91"/>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23610"/>
      <w:bookmarkStart w:id="39" w:name="_Toc9989"/>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经皮肾镜、输尿管镜等硬式内窥镜维保采购项目</w:t>
      </w:r>
    </w:p>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1"/>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4005"/>
        <w:gridCol w:w="1035"/>
        <w:gridCol w:w="1920"/>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b/>
                <w:bCs/>
                <w:sz w:val="21"/>
                <w:szCs w:val="21"/>
                <w:lang w:val="en-US" w:eastAsia="zh-CN"/>
              </w:rPr>
              <w:t>序</w:t>
            </w:r>
            <w:r>
              <w:rPr>
                <w:rFonts w:hint="eastAsia" w:ascii="宋体" w:hAnsi="宋体"/>
                <w:b/>
                <w:bCs/>
                <w:sz w:val="21"/>
                <w:szCs w:val="21"/>
              </w:rPr>
              <w:t>号</w:t>
            </w:r>
          </w:p>
        </w:tc>
        <w:tc>
          <w:tcPr>
            <w:tcW w:w="4005"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ascii="宋体" w:hAnsi="宋体" w:eastAsia="宋体"/>
                <w:b/>
                <w:bCs/>
                <w:sz w:val="21"/>
                <w:szCs w:val="21"/>
                <w:lang w:val="en-US" w:eastAsia="zh-CN"/>
              </w:rPr>
            </w:pPr>
            <w:r>
              <w:rPr>
                <w:rFonts w:hint="eastAsia"/>
                <w:b/>
                <w:bCs/>
                <w:sz w:val="21"/>
                <w:szCs w:val="21"/>
                <w:lang w:val="en-US" w:eastAsia="zh-CN"/>
              </w:rPr>
              <w:t>服务内容</w:t>
            </w:r>
          </w:p>
        </w:tc>
        <w:tc>
          <w:tcPr>
            <w:tcW w:w="103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数量</w:t>
            </w:r>
          </w:p>
        </w:tc>
        <w:tc>
          <w:tcPr>
            <w:tcW w:w="1920"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183"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1</w:t>
            </w:r>
          </w:p>
        </w:tc>
        <w:tc>
          <w:tcPr>
            <w:tcW w:w="400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经皮肾镜、输尿管镜等硬式内窥镜维保</w:t>
            </w:r>
          </w:p>
        </w:tc>
        <w:tc>
          <w:tcPr>
            <w:tcW w:w="1035"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p>
        </w:tc>
        <w:tc>
          <w:tcPr>
            <w:tcW w:w="1920"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cs="宋体"/>
                <w:kern w:val="0"/>
                <w:sz w:val="21"/>
                <w:szCs w:val="21"/>
                <w:lang w:val="en-US" w:eastAsia="zh-CN" w:bidi="ar-SA"/>
              </w:rPr>
            </w:pPr>
            <w:r>
              <w:rPr>
                <w:rFonts w:hint="eastAsia" w:cs="宋体"/>
                <w:sz w:val="21"/>
                <w:szCs w:val="21"/>
                <w:lang w:val="en-US" w:eastAsia="zh-CN"/>
              </w:rPr>
              <w:t>23.3</w:t>
            </w:r>
          </w:p>
        </w:tc>
        <w:tc>
          <w:tcPr>
            <w:tcW w:w="1183" w:type="dxa"/>
            <w:tcBorders>
              <w:top w:val="single" w:color="auto" w:sz="4" w:space="0"/>
              <w:left w:val="nil"/>
              <w:bottom w:val="single" w:color="auto" w:sz="4" w:space="0"/>
              <w:right w:val="single" w:color="auto" w:sz="4" w:space="0"/>
            </w:tcBorders>
            <w:vAlign w:val="center"/>
          </w:tcPr>
          <w:p>
            <w:pPr>
              <w:pStyle w:val="12"/>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2"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hint="eastAsia" w:ascii="宋体" w:hAnsi="宋体"/>
                <w:b/>
                <w:bCs/>
                <w:sz w:val="21"/>
                <w:szCs w:val="21"/>
              </w:rPr>
            </w:pPr>
            <w:r>
              <w:rPr>
                <w:rFonts w:hint="eastAsia" w:ascii="宋体" w:hAnsi="宋体"/>
                <w:b/>
                <w:bCs/>
                <w:sz w:val="21"/>
                <w:szCs w:val="21"/>
              </w:rPr>
              <w:t>合计</w:t>
            </w:r>
          </w:p>
        </w:tc>
        <w:tc>
          <w:tcPr>
            <w:tcW w:w="400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1035" w:type="dxa"/>
            <w:tcBorders>
              <w:top w:val="single" w:color="auto" w:sz="4" w:space="0"/>
              <w:left w:val="nil"/>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p>
        </w:tc>
        <w:tc>
          <w:tcPr>
            <w:tcW w:w="1920"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sz w:val="21"/>
                <w:szCs w:val="21"/>
                <w:lang w:val="en-US" w:eastAsia="zh-CN"/>
              </w:rPr>
            </w:pPr>
            <w:r>
              <w:rPr>
                <w:rFonts w:hint="eastAsia"/>
                <w:sz w:val="21"/>
                <w:szCs w:val="21"/>
                <w:lang w:val="en-US" w:eastAsia="zh-CN"/>
              </w:rPr>
              <w:t>23.3</w:t>
            </w:r>
          </w:p>
        </w:tc>
        <w:tc>
          <w:tcPr>
            <w:tcW w:w="1183"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r>
    </w:tbl>
    <w:p>
      <w:pPr>
        <w:jc w:val="center"/>
        <w:rPr>
          <w:rFonts w:hint="eastAsia" w:ascii="宋体" w:hAnsi="宋体"/>
          <w:b/>
          <w:bCs/>
        </w:rPr>
      </w:pPr>
    </w:p>
    <w:bookmarkEnd w:id="35"/>
    <w:bookmarkEnd w:id="36"/>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sz w:val="21"/>
          <w:szCs w:val="21"/>
        </w:rPr>
      </w:pPr>
      <w:r>
        <w:rPr>
          <w:rFonts w:hint="eastAsia" w:ascii="宋体" w:hAnsi="宋体" w:eastAsia="宋体" w:cs="宋体"/>
          <w:b/>
          <w:sz w:val="21"/>
          <w:szCs w:val="21"/>
        </w:rPr>
        <w:t>1、商务和人员要求</w:t>
      </w:r>
      <w:r>
        <w:rPr>
          <w:rFonts w:hint="eastAsia" w:ascii="宋体" w:hAnsi="宋体" w:eastAsia="宋体" w:cs="宋体"/>
          <w:sz w:val="21"/>
          <w:szCs w:val="21"/>
        </w:rPr>
        <w:t>（须具备以下要求，若是原厂授权，则另需提供原厂授权证明）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投标人须具有独立法人资格，具备有效的营业执照，经营范围包括医疗器械安装维修或技术服务等配套服务；</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须具有医疗器械经营许可证；</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须提供同品牌同型号或高于该品牌型号的维保服务（全保）业绩，不得将本项目转包或分包；</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eastAsia="zh-CN"/>
        </w:rPr>
        <w:t>）</w:t>
      </w:r>
      <w:r>
        <w:rPr>
          <w:rFonts w:hint="eastAsia" w:ascii="宋体" w:hAnsi="宋体" w:eastAsia="宋体" w:cs="宋体"/>
          <w:sz w:val="21"/>
          <w:szCs w:val="21"/>
        </w:rPr>
        <w:t>须提供7*24小时免费技术支持，为本医院配置具备维修资质的固定工程师不少于2人，本设备维修经验不少于2年，需提供证明材料（培训证书）和承诺函。</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rPr>
        <w:t>2、技术要求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服务安排：周一至周日，7天24小时包括法定节假日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提供设备软硬件安全升级</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）须国内有备件库</w:t>
      </w:r>
      <w:r>
        <w:rPr>
          <w:rFonts w:hint="eastAsia" w:ascii="宋体" w:hAnsi="宋体" w:eastAsia="宋体" w:cs="宋体"/>
          <w:sz w:val="21"/>
          <w:szCs w:val="21"/>
          <w:lang w:eastAsia="zh-CN"/>
        </w:rPr>
        <w:t>，无限次维修及更换配件</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）如需更换备件，国内备件仓库有货的备件在2个工作日内送达医院，进口配件5个工作日送达；非标件和不可抗力除外</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）工程师响应时间：接到用户报修通知后1小时内电话响应，24小时内派工程师到达用户现场。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）定期进行安全检查及质量保障，保证24h*365天维修热线连接；提供全国400热线服务电话</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）紧急人工和工程师现场紧急维修服务；</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）提供ISO9001和13485质量认证证书</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）须有具备应用培训工程师且提供原厂认证的培训证书</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0</w:t>
      </w:r>
      <w:r>
        <w:rPr>
          <w:rFonts w:hint="eastAsia" w:ascii="宋体" w:hAnsi="宋体" w:eastAsia="宋体" w:cs="宋体"/>
          <w:sz w:val="21"/>
          <w:szCs w:val="21"/>
        </w:rPr>
        <w:t>）工程师需配备有专用工具，工程师的工具符合国家检测和校准的规定（提供相关校准证明）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r>
        <w:rPr>
          <w:rFonts w:hint="eastAsia" w:ascii="宋体" w:hAnsi="宋体" w:eastAsia="宋体" w:cs="宋体"/>
          <w:sz w:val="21"/>
          <w:szCs w:val="21"/>
        </w:rPr>
        <w:t>）保修期最后一个月内更换的配件，中标公司应保证自更换之日起三个月内正常使用，如三个月内出现故障，由中标公司承担维修费用。</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rPr>
        <w:t>3、响应要求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维修响应时间：20分钟内电话响应，2小时内工程师到达现场，一般故障24小时内维修完毕。如需外地专家支持，4小时内响应，24小时内到达现场。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投标人保证我院保修的设备正常开机率大于95% （一年按365天计算），且单次维修不能超过1天，否则设备维修占用日期每增加一天，保修时间往后顺延七天。</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color w:val="auto"/>
          <w:sz w:val="21"/>
          <w:szCs w:val="21"/>
        </w:rPr>
        <w:t>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color w:val="auto"/>
          <w:sz w:val="21"/>
          <w:szCs w:val="21"/>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color w:val="auto"/>
          <w:sz w:val="21"/>
          <w:szCs w:val="21"/>
        </w:rPr>
        <w:t>所换备件必须是全新</w:t>
      </w:r>
      <w:r>
        <w:rPr>
          <w:rFonts w:hint="eastAsia" w:ascii="宋体" w:hAnsi="宋体" w:eastAsia="宋体" w:cs="宋体"/>
          <w:color w:val="auto"/>
          <w:sz w:val="21"/>
          <w:szCs w:val="21"/>
          <w:lang w:eastAsia="zh-CN"/>
        </w:rPr>
        <w:t>原厂</w:t>
      </w:r>
      <w:r>
        <w:rPr>
          <w:rFonts w:hint="eastAsia" w:ascii="宋体" w:hAnsi="宋体" w:eastAsia="宋体" w:cs="宋体"/>
          <w:color w:val="auto"/>
          <w:sz w:val="21"/>
          <w:szCs w:val="21"/>
        </w:rPr>
        <w:t>的产品，并满足设备运行要求, 进口配件需提供商检及海关报关单等材料。因所换备件造成的设备故障及医院损失，由投标人全权负责。</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ascii="宋体" w:hAnsi="宋体" w:eastAsia="宋体" w:cs="宋体"/>
          <w:sz w:val="21"/>
          <w:szCs w:val="21"/>
          <w:lang w:eastAsia="zh-CN"/>
        </w:rPr>
        <w:t>）</w:t>
      </w:r>
      <w:r>
        <w:rPr>
          <w:rFonts w:hint="eastAsia" w:ascii="宋体" w:hAnsi="宋体" w:eastAsia="宋体" w:cs="宋体"/>
          <w:color w:val="auto"/>
          <w:sz w:val="21"/>
          <w:szCs w:val="21"/>
        </w:rPr>
        <w:t>软硬件及工作站免费安全升级，并开放维修密码等。</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7</w:t>
      </w:r>
      <w:r>
        <w:rPr>
          <w:rFonts w:hint="eastAsia" w:ascii="宋体" w:hAnsi="宋体" w:eastAsia="宋体" w:cs="宋体"/>
          <w:sz w:val="21"/>
          <w:szCs w:val="21"/>
          <w:lang w:eastAsia="zh-CN"/>
        </w:rPr>
        <w:t>）</w:t>
      </w:r>
      <w:r>
        <w:rPr>
          <w:rFonts w:hint="eastAsia" w:ascii="宋体" w:hAnsi="宋体" w:eastAsia="宋体" w:cs="宋体"/>
          <w:color w:val="auto"/>
          <w:sz w:val="21"/>
          <w:szCs w:val="21"/>
        </w:rPr>
        <w:t>提供24小时远程技术支持及临床应用支持</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）配件故障时不维修，直接更换备件且备件无限次更换；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8</w:t>
      </w:r>
      <w:r>
        <w:rPr>
          <w:rFonts w:hint="eastAsia" w:ascii="宋体" w:hAnsi="宋体" w:eastAsia="宋体" w:cs="宋体"/>
          <w:sz w:val="21"/>
          <w:szCs w:val="21"/>
          <w:lang w:eastAsia="zh-CN"/>
        </w:rPr>
        <w:t>）</w:t>
      </w:r>
      <w:r>
        <w:rPr>
          <w:rFonts w:hint="eastAsia" w:ascii="宋体" w:hAnsi="宋体" w:eastAsia="宋体" w:cs="宋体"/>
          <w:b w:val="0"/>
          <w:bCs/>
          <w:color w:val="auto"/>
          <w:sz w:val="21"/>
          <w:szCs w:val="21"/>
        </w:rPr>
        <w:t>培训要求（提供承诺书）</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a.</w:t>
      </w:r>
      <w:r>
        <w:rPr>
          <w:rFonts w:hint="eastAsia" w:ascii="宋体" w:hAnsi="宋体" w:eastAsia="宋体" w:cs="宋体"/>
          <w:color w:val="auto"/>
          <w:sz w:val="21"/>
          <w:szCs w:val="21"/>
        </w:rPr>
        <w:t>对我院的维修工程师提供每年至少2人次的专业培训，并提供培训证明材料。</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sz w:val="21"/>
          <w:szCs w:val="21"/>
          <w:lang w:val="en-US" w:eastAsia="zh-CN"/>
        </w:rPr>
        <w:t>b.</w:t>
      </w:r>
      <w:r>
        <w:rPr>
          <w:rFonts w:hint="eastAsia" w:ascii="宋体" w:hAnsi="宋体" w:eastAsia="宋体" w:cs="宋体"/>
          <w:color w:val="auto"/>
          <w:sz w:val="21"/>
          <w:szCs w:val="21"/>
        </w:rPr>
        <w:t>每年制定临床使用人员的使用维护培训计划，按计划进行培训并提供记录。</w:t>
      </w:r>
    </w:p>
    <w:p>
      <w:pPr>
        <w:pStyle w:val="12"/>
        <w:numPr>
          <w:ilvl w:val="0"/>
          <w:numId w:val="0"/>
        </w:numPr>
        <w:spacing w:after="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1、</w:t>
      </w:r>
      <w:r>
        <w:rPr>
          <w:rFonts w:hint="eastAsia" w:ascii="宋体" w:hAnsi="宋体" w:eastAsia="宋体" w:cs="宋体"/>
          <w:b w:val="0"/>
          <w:bCs w:val="0"/>
          <w:color w:val="auto"/>
          <w:kern w:val="2"/>
          <w:sz w:val="21"/>
          <w:szCs w:val="21"/>
          <w:highlight w:val="none"/>
          <w:lang w:val="en-US" w:eastAsia="zh-CN" w:bidi="ar-SA"/>
        </w:rPr>
        <w:t>维保服务期：一年</w:t>
      </w:r>
      <w:r>
        <w:rPr>
          <w:rFonts w:hint="eastAsia" w:ascii="宋体" w:hAnsi="宋体" w:cs="宋体"/>
          <w:b w:val="0"/>
          <w:bCs w:val="0"/>
          <w:color w:val="auto"/>
          <w:kern w:val="2"/>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rPr>
      </w:pPr>
      <w:r>
        <w:rPr>
          <w:rFonts w:hint="eastAsia" w:ascii="宋体" w:hAnsi="宋体" w:cs="宋体"/>
          <w:b w:val="0"/>
          <w:bCs w:val="0"/>
          <w:color w:val="auto"/>
          <w:kern w:val="2"/>
          <w:sz w:val="21"/>
          <w:szCs w:val="21"/>
          <w:highlight w:val="none"/>
          <w:lang w:val="en-US" w:eastAsia="zh-CN" w:bidi="ar-SA"/>
        </w:rPr>
        <w:t>2、</w:t>
      </w:r>
      <w:r>
        <w:rPr>
          <w:rFonts w:hint="eastAsia" w:ascii="宋体" w:hAnsi="宋体" w:eastAsia="宋体" w:cs="宋体"/>
          <w:b w:val="0"/>
          <w:bCs w:val="0"/>
          <w:color w:val="auto"/>
          <w:kern w:val="2"/>
          <w:sz w:val="21"/>
          <w:szCs w:val="21"/>
          <w:highlight w:val="none"/>
          <w:lang w:val="en-US" w:eastAsia="zh-CN" w:bidi="ar-SA"/>
        </w:rPr>
        <w:t>维保服务内容：全保，含无限次维修及配件更换、人工费、运输费等，维修期间提供备用镜。</w:t>
      </w: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经皮肾镜、输尿管镜等硬式内窥镜维保采购项目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233000.00元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233000.00元。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投标文件的正本与副本应</w:t>
      </w:r>
      <w:r>
        <w:rPr>
          <w:rFonts w:hint="eastAsia" w:ascii="宋体" w:hAnsi="宋体" w:cs="宋体"/>
          <w:color w:val="auto"/>
          <w:kern w:val="0"/>
          <w:szCs w:val="21"/>
          <w:highlight w:val="none"/>
          <w:lang w:val="en-US" w:eastAsia="zh-CN"/>
        </w:rPr>
        <w:t>密封</w:t>
      </w:r>
      <w:r>
        <w:rPr>
          <w:rFonts w:hint="eastAsia" w:ascii="宋体" w:hAnsi="宋体" w:cs="宋体"/>
          <w:color w:val="auto"/>
          <w:kern w:val="0"/>
          <w:szCs w:val="21"/>
          <w:highlight w:val="none"/>
        </w:rPr>
        <w:t>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ascii="宋体" w:hAnsi="宋体" w:eastAsia="宋体" w:cs="宋体"/>
          <w:lang w:eastAsia="zh-CN"/>
        </w:rPr>
        <w:t>2</w:t>
      </w:r>
      <w:r>
        <w:rPr>
          <w:rFonts w:hint="eastAsia" w:ascii="宋体" w:hAnsi="宋体" w:eastAsia="宋体" w:cs="宋体"/>
          <w:lang w:val="en-US" w:eastAsia="zh-CN"/>
        </w:rPr>
        <w:t>1</w:t>
      </w:r>
      <w:r>
        <w:rPr>
          <w:rFonts w:hint="eastAsia" w:ascii="宋体" w:hAnsi="宋体" w:eastAsia="宋体" w:cs="宋体"/>
          <w:lang w:eastAsia="zh-CN"/>
        </w:rPr>
        <w:t xml:space="preserve">.3 </w:t>
      </w:r>
      <w:r>
        <w:rPr>
          <w:rFonts w:hint="eastAsia"/>
          <w:lang w:eastAsia="zh-CN"/>
        </w:rPr>
        <w:t>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326786897"/>
      <w:bookmarkStart w:id="49" w:name="_Toc256519703"/>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18"/>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snapToGrid w:val="0"/>
        <w:spacing w:before="50" w:after="50"/>
        <w:ind w:left="88" w:leftChars="42" w:right="-817" w:rightChars="-389" w:firstLine="6321" w:firstLineChars="2634"/>
        <w:jc w:val="left"/>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226"/>
      <w:bookmarkStart w:id="77" w:name="_Toc15804"/>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p>
    <w:p>
      <w:pPr>
        <w:rPr>
          <w:color w:val="auto"/>
          <w:highlight w:val="none"/>
        </w:rPr>
      </w:pPr>
      <w:r>
        <w:rPr>
          <w:color w:val="auto"/>
          <w:highlight w:val="none"/>
        </w:rPr>
        <w:br w:type="page"/>
      </w:r>
    </w:p>
    <w:p>
      <w:pPr>
        <w:pStyle w:val="31"/>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rPr>
          <w:rFonts w:cs="宋体"/>
          <w:b/>
          <w:color w:val="auto"/>
          <w:kern w:val="0"/>
          <w:sz w:val="24"/>
          <w:highlight w:val="none"/>
        </w:rPr>
      </w:pPr>
      <w:r>
        <w:rPr>
          <w:rFonts w:cs="宋体"/>
          <w:b/>
          <w:color w:val="auto"/>
          <w:kern w:val="0"/>
          <w:sz w:val="24"/>
          <w:highlight w:val="none"/>
        </w:rPr>
        <w:br w:type="page"/>
      </w:r>
    </w:p>
    <w:p>
      <w:pPr>
        <w:pStyle w:val="30"/>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2"/>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u w:val="none"/>
        <w:shd w:val="clear" w:color="auto" w:fill="FFFFFF"/>
        <w:lang w:val="en-US" w:eastAsia="zh-CN"/>
      </w:rPr>
      <w:t>经皮肾镜、输尿管镜等硬式内窥镜维保采购项目采购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w:rPr>
        <w:rFonts w:hint="eastAsia"/>
      </w:rPr>
      <w:t xml:space="preserve">                          </w:t>
    </w:r>
    <w:r>
      <w:rPr>
        <w:rFonts w:hint="eastAsia"/>
        <w:lang w:val="en-US" w:eastAsia="zh-CN"/>
      </w:rPr>
      <w:t>经皮肾镜、输尿管镜等硬式内窥镜维保采购项目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041"/>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B811DD"/>
    <w:rsid w:val="02CA60B7"/>
    <w:rsid w:val="02D92EF7"/>
    <w:rsid w:val="02DA4665"/>
    <w:rsid w:val="02F40325"/>
    <w:rsid w:val="031126C4"/>
    <w:rsid w:val="036A009A"/>
    <w:rsid w:val="03844805"/>
    <w:rsid w:val="03845791"/>
    <w:rsid w:val="03A011E9"/>
    <w:rsid w:val="03AE7F27"/>
    <w:rsid w:val="03BD2BCD"/>
    <w:rsid w:val="04212517"/>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6C0D33"/>
    <w:rsid w:val="09737462"/>
    <w:rsid w:val="0979740A"/>
    <w:rsid w:val="09906B8B"/>
    <w:rsid w:val="099156C3"/>
    <w:rsid w:val="09A53F39"/>
    <w:rsid w:val="09A60E13"/>
    <w:rsid w:val="09D206F0"/>
    <w:rsid w:val="09FF5AD9"/>
    <w:rsid w:val="0A321AC2"/>
    <w:rsid w:val="0A343D4E"/>
    <w:rsid w:val="0A3E6D2E"/>
    <w:rsid w:val="0AD13A85"/>
    <w:rsid w:val="0B091954"/>
    <w:rsid w:val="0B0E0EA9"/>
    <w:rsid w:val="0B30303F"/>
    <w:rsid w:val="0B637D77"/>
    <w:rsid w:val="0B7006C4"/>
    <w:rsid w:val="0BAC324F"/>
    <w:rsid w:val="0BE47BB0"/>
    <w:rsid w:val="0BF72F1E"/>
    <w:rsid w:val="0C3957A5"/>
    <w:rsid w:val="0C626DA7"/>
    <w:rsid w:val="0C684A5B"/>
    <w:rsid w:val="0C6876AE"/>
    <w:rsid w:val="0C720EC8"/>
    <w:rsid w:val="0C942042"/>
    <w:rsid w:val="0C9D50DC"/>
    <w:rsid w:val="0CA5271D"/>
    <w:rsid w:val="0CAC4D10"/>
    <w:rsid w:val="0CC72121"/>
    <w:rsid w:val="0CD143AE"/>
    <w:rsid w:val="0CEE5A21"/>
    <w:rsid w:val="0D0646E7"/>
    <w:rsid w:val="0D0C38CA"/>
    <w:rsid w:val="0D2547EE"/>
    <w:rsid w:val="0D483DB6"/>
    <w:rsid w:val="0DC577E0"/>
    <w:rsid w:val="0DDC6319"/>
    <w:rsid w:val="0E0B3823"/>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106E6"/>
    <w:rsid w:val="113329E7"/>
    <w:rsid w:val="113F294C"/>
    <w:rsid w:val="11437C85"/>
    <w:rsid w:val="114539BA"/>
    <w:rsid w:val="1166372C"/>
    <w:rsid w:val="11700D10"/>
    <w:rsid w:val="1178125A"/>
    <w:rsid w:val="1196056D"/>
    <w:rsid w:val="11D34654"/>
    <w:rsid w:val="11E332CA"/>
    <w:rsid w:val="12010480"/>
    <w:rsid w:val="120E707F"/>
    <w:rsid w:val="127A7D1C"/>
    <w:rsid w:val="12836D8B"/>
    <w:rsid w:val="12AB0349"/>
    <w:rsid w:val="12CD57F1"/>
    <w:rsid w:val="12CE7AFA"/>
    <w:rsid w:val="12D02CBF"/>
    <w:rsid w:val="12D67466"/>
    <w:rsid w:val="131776FE"/>
    <w:rsid w:val="13272A5D"/>
    <w:rsid w:val="13493108"/>
    <w:rsid w:val="13733928"/>
    <w:rsid w:val="138201E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A6062"/>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617245"/>
    <w:rsid w:val="1B8C18B7"/>
    <w:rsid w:val="1BB73AE1"/>
    <w:rsid w:val="1BDA6D68"/>
    <w:rsid w:val="1BF6311C"/>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0609C"/>
    <w:rsid w:val="1F94547B"/>
    <w:rsid w:val="1FAD6C1D"/>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10FE4"/>
    <w:rsid w:val="22843A03"/>
    <w:rsid w:val="22A338AB"/>
    <w:rsid w:val="22AD37A2"/>
    <w:rsid w:val="22B31E8A"/>
    <w:rsid w:val="22C735BD"/>
    <w:rsid w:val="22CE27FE"/>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5152D5"/>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06677"/>
    <w:rsid w:val="28570AB5"/>
    <w:rsid w:val="28C02D0C"/>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AD30322"/>
    <w:rsid w:val="2B003D00"/>
    <w:rsid w:val="2B074D5E"/>
    <w:rsid w:val="2B100BA9"/>
    <w:rsid w:val="2B1B5825"/>
    <w:rsid w:val="2B1E3AFC"/>
    <w:rsid w:val="2B567786"/>
    <w:rsid w:val="2B9E4F56"/>
    <w:rsid w:val="2BBD216E"/>
    <w:rsid w:val="2BDB5A88"/>
    <w:rsid w:val="2BE53AA6"/>
    <w:rsid w:val="2BE91C37"/>
    <w:rsid w:val="2BEC3F72"/>
    <w:rsid w:val="2C083572"/>
    <w:rsid w:val="2C1300E8"/>
    <w:rsid w:val="2C150BE3"/>
    <w:rsid w:val="2C185F94"/>
    <w:rsid w:val="2C1F1AC4"/>
    <w:rsid w:val="2C3F3A41"/>
    <w:rsid w:val="2C4431C4"/>
    <w:rsid w:val="2C62059F"/>
    <w:rsid w:val="2C6634FA"/>
    <w:rsid w:val="2CAC022C"/>
    <w:rsid w:val="2CB4518E"/>
    <w:rsid w:val="2CC11807"/>
    <w:rsid w:val="2CF16074"/>
    <w:rsid w:val="2CF81D1B"/>
    <w:rsid w:val="2D3F2453"/>
    <w:rsid w:val="2D835174"/>
    <w:rsid w:val="2DD668EC"/>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872FB6"/>
    <w:rsid w:val="31A359FC"/>
    <w:rsid w:val="31AD0D61"/>
    <w:rsid w:val="31CD73BD"/>
    <w:rsid w:val="31D66571"/>
    <w:rsid w:val="31DB4220"/>
    <w:rsid w:val="31DD3C68"/>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35979"/>
    <w:rsid w:val="35DB09A6"/>
    <w:rsid w:val="35E61494"/>
    <w:rsid w:val="369B4CF0"/>
    <w:rsid w:val="36B50719"/>
    <w:rsid w:val="36D62629"/>
    <w:rsid w:val="36D76172"/>
    <w:rsid w:val="36E833BB"/>
    <w:rsid w:val="36EB1E1B"/>
    <w:rsid w:val="36F17F0D"/>
    <w:rsid w:val="370A6446"/>
    <w:rsid w:val="37310631"/>
    <w:rsid w:val="3735197D"/>
    <w:rsid w:val="373756A2"/>
    <w:rsid w:val="373D42AF"/>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12D5"/>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CA44BE"/>
    <w:rsid w:val="3BE20963"/>
    <w:rsid w:val="3BED2EBC"/>
    <w:rsid w:val="3C061F3A"/>
    <w:rsid w:val="3C495480"/>
    <w:rsid w:val="3C6F0167"/>
    <w:rsid w:val="3C71667B"/>
    <w:rsid w:val="3C914F3B"/>
    <w:rsid w:val="3CC17F13"/>
    <w:rsid w:val="3CE320A3"/>
    <w:rsid w:val="3CE9196C"/>
    <w:rsid w:val="3CF15105"/>
    <w:rsid w:val="3CF80722"/>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8C7AB3"/>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796B0B"/>
    <w:rsid w:val="42800B9B"/>
    <w:rsid w:val="42A06B6C"/>
    <w:rsid w:val="42B533F0"/>
    <w:rsid w:val="42EA5650"/>
    <w:rsid w:val="430A7612"/>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303696"/>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7D376F"/>
    <w:rsid w:val="46843C64"/>
    <w:rsid w:val="46C3037C"/>
    <w:rsid w:val="46CD006B"/>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84254"/>
    <w:rsid w:val="48BC6222"/>
    <w:rsid w:val="48C245E9"/>
    <w:rsid w:val="48DB312A"/>
    <w:rsid w:val="48DE352F"/>
    <w:rsid w:val="48DF49D9"/>
    <w:rsid w:val="492108CC"/>
    <w:rsid w:val="497B0271"/>
    <w:rsid w:val="4A05334F"/>
    <w:rsid w:val="4A225A8E"/>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5F7780"/>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BE3EFF"/>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452194"/>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4F55FA"/>
    <w:rsid w:val="53517A72"/>
    <w:rsid w:val="5361549D"/>
    <w:rsid w:val="536220DA"/>
    <w:rsid w:val="53650637"/>
    <w:rsid w:val="53757C6B"/>
    <w:rsid w:val="537E1075"/>
    <w:rsid w:val="53A44D07"/>
    <w:rsid w:val="53A46AC8"/>
    <w:rsid w:val="53AB7F1F"/>
    <w:rsid w:val="53AC6F7B"/>
    <w:rsid w:val="53C63F4D"/>
    <w:rsid w:val="53DD35CA"/>
    <w:rsid w:val="53EB297B"/>
    <w:rsid w:val="542E2BC2"/>
    <w:rsid w:val="54352A96"/>
    <w:rsid w:val="543E2C5B"/>
    <w:rsid w:val="54447390"/>
    <w:rsid w:val="545E1D01"/>
    <w:rsid w:val="54935B8F"/>
    <w:rsid w:val="54CC6227"/>
    <w:rsid w:val="54D10F9B"/>
    <w:rsid w:val="54DA705C"/>
    <w:rsid w:val="551D586C"/>
    <w:rsid w:val="55200298"/>
    <w:rsid w:val="55335E1B"/>
    <w:rsid w:val="554B7EF0"/>
    <w:rsid w:val="555700EF"/>
    <w:rsid w:val="556F3D99"/>
    <w:rsid w:val="55860894"/>
    <w:rsid w:val="55B02DF1"/>
    <w:rsid w:val="55BE2BE0"/>
    <w:rsid w:val="55DC290C"/>
    <w:rsid w:val="55F01FA1"/>
    <w:rsid w:val="56427445"/>
    <w:rsid w:val="566708F8"/>
    <w:rsid w:val="56990B7C"/>
    <w:rsid w:val="569E1126"/>
    <w:rsid w:val="56B80DEB"/>
    <w:rsid w:val="56D23166"/>
    <w:rsid w:val="56DD37DF"/>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02672"/>
    <w:rsid w:val="5A8734AF"/>
    <w:rsid w:val="5A9D3E45"/>
    <w:rsid w:val="5AA4101D"/>
    <w:rsid w:val="5AB17576"/>
    <w:rsid w:val="5ABD68E6"/>
    <w:rsid w:val="5ABF73D2"/>
    <w:rsid w:val="5ACB3D8A"/>
    <w:rsid w:val="5AE1508F"/>
    <w:rsid w:val="5AF80256"/>
    <w:rsid w:val="5B110CC9"/>
    <w:rsid w:val="5B1F7B5D"/>
    <w:rsid w:val="5B266C40"/>
    <w:rsid w:val="5B307ABF"/>
    <w:rsid w:val="5B423199"/>
    <w:rsid w:val="5B585171"/>
    <w:rsid w:val="5B585B78"/>
    <w:rsid w:val="5B9A2B59"/>
    <w:rsid w:val="5BC0085A"/>
    <w:rsid w:val="5BCE3E1C"/>
    <w:rsid w:val="5BF03D58"/>
    <w:rsid w:val="5C1A6BB2"/>
    <w:rsid w:val="5C5355FE"/>
    <w:rsid w:val="5C6F4105"/>
    <w:rsid w:val="5C983B6D"/>
    <w:rsid w:val="5CBB7F6F"/>
    <w:rsid w:val="5D615675"/>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8959EF"/>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9B51C5"/>
    <w:rsid w:val="62A20409"/>
    <w:rsid w:val="62B54B44"/>
    <w:rsid w:val="62E045DA"/>
    <w:rsid w:val="62E454A1"/>
    <w:rsid w:val="62F36E4C"/>
    <w:rsid w:val="62F47F8F"/>
    <w:rsid w:val="62F7233F"/>
    <w:rsid w:val="631F3FB4"/>
    <w:rsid w:val="6340438B"/>
    <w:rsid w:val="6353238E"/>
    <w:rsid w:val="63612AB8"/>
    <w:rsid w:val="637D0978"/>
    <w:rsid w:val="638968B0"/>
    <w:rsid w:val="638A282C"/>
    <w:rsid w:val="639C03E7"/>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2F5543"/>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57CB7"/>
    <w:rsid w:val="68362BFB"/>
    <w:rsid w:val="683F1130"/>
    <w:rsid w:val="684456A1"/>
    <w:rsid w:val="685E1363"/>
    <w:rsid w:val="688E1089"/>
    <w:rsid w:val="68A026F3"/>
    <w:rsid w:val="68AF6C13"/>
    <w:rsid w:val="690E07C7"/>
    <w:rsid w:val="69236A65"/>
    <w:rsid w:val="692E469B"/>
    <w:rsid w:val="69315C48"/>
    <w:rsid w:val="693521D1"/>
    <w:rsid w:val="694019EC"/>
    <w:rsid w:val="69584DB4"/>
    <w:rsid w:val="696C3D80"/>
    <w:rsid w:val="698A5EE4"/>
    <w:rsid w:val="69A93106"/>
    <w:rsid w:val="69C1121A"/>
    <w:rsid w:val="69C811ED"/>
    <w:rsid w:val="69D33070"/>
    <w:rsid w:val="69E97E75"/>
    <w:rsid w:val="69FB5D9E"/>
    <w:rsid w:val="6A140B08"/>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31356"/>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144325"/>
    <w:rsid w:val="6D480984"/>
    <w:rsid w:val="6D7274D0"/>
    <w:rsid w:val="6D77157D"/>
    <w:rsid w:val="6D7B44F7"/>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6FD053B2"/>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2DA6836"/>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DB74EF"/>
    <w:rsid w:val="78EE1C79"/>
    <w:rsid w:val="78FA66FA"/>
    <w:rsid w:val="7931117A"/>
    <w:rsid w:val="797239CC"/>
    <w:rsid w:val="79831473"/>
    <w:rsid w:val="7999527A"/>
    <w:rsid w:val="79A26B02"/>
    <w:rsid w:val="79AF76C5"/>
    <w:rsid w:val="79C25EE1"/>
    <w:rsid w:val="79CC49FF"/>
    <w:rsid w:val="79CE2967"/>
    <w:rsid w:val="79EA664C"/>
    <w:rsid w:val="7A2111EE"/>
    <w:rsid w:val="7A2F3BBF"/>
    <w:rsid w:val="7A2F459A"/>
    <w:rsid w:val="7A517022"/>
    <w:rsid w:val="7A6F5001"/>
    <w:rsid w:val="7AA2343E"/>
    <w:rsid w:val="7ADA73A4"/>
    <w:rsid w:val="7AE66B99"/>
    <w:rsid w:val="7AEA1900"/>
    <w:rsid w:val="7B0A3BCA"/>
    <w:rsid w:val="7B0E1773"/>
    <w:rsid w:val="7B4048C1"/>
    <w:rsid w:val="7B73082F"/>
    <w:rsid w:val="7B971768"/>
    <w:rsid w:val="7BBA7205"/>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A66A7"/>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3"/>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11"/>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2"/>
    <w:next w:val="32"/>
    <w:qFormat/>
    <w:uiPriority w:val="0"/>
    <w:pPr>
      <w:ind w:firstLine="420" w:firstLineChars="200"/>
    </w:pPr>
  </w:style>
  <w:style w:type="paragraph" w:customStyle="1" w:styleId="32">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1"/>
    <w:qFormat/>
    <w:uiPriority w:val="0"/>
  </w:style>
  <w:style w:type="character" w:customStyle="1" w:styleId="74">
    <w:name w:val="apple-converted-space"/>
    <w:basedOn w:val="35"/>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15950</Words>
  <Characters>16681</Characters>
  <Lines>50</Lines>
  <Paragraphs>68</Paragraphs>
  <TotalTime>0</TotalTime>
  <ScaleCrop>false</ScaleCrop>
  <LinksUpToDate>false</LinksUpToDate>
  <CharactersWithSpaces>17536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2022-11-04T02:53:07Z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562A285641654D2EA086C4325B3B203C</vt:lpwstr>
  </property>
</Properties>
</file>