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7"/>
        <w:keepNext w:val="0"/>
        <w:keepLines w:val="0"/>
        <w:pageBreakBefore w:val="0"/>
        <w:widowControl w:val="0"/>
        <w:kinsoku/>
        <w:wordWrap/>
        <w:overflowPunct/>
        <w:topLinePunct w:val="0"/>
        <w:autoSpaceDE/>
        <w:autoSpaceDN/>
        <w:bidi w:val="0"/>
        <w:adjustRightInd/>
        <w:snapToGrid/>
        <w:spacing w:beforeAutospacing="0" w:afterAutospacing="0" w:line="360" w:lineRule="auto"/>
        <w:jc w:val="both"/>
        <w:textAlignment w:val="auto"/>
        <w:rPr>
          <w:rFonts w:hint="eastAsia" w:ascii="宋体" w:hAnsi="宋体" w:eastAsia="宋体" w:cs="宋体"/>
          <w:b/>
          <w:bCs/>
          <w:color w:val="auto"/>
          <w:sz w:val="21"/>
          <w:szCs w:val="21"/>
          <w:lang w:val="en-US" w:eastAsia="zh-CN"/>
        </w:rPr>
      </w:pPr>
      <w:bookmarkStart w:id="0" w:name="_Toc22804073"/>
      <w:bookmarkEnd w:id="0"/>
      <w:bookmarkStart w:id="1" w:name="_Toc22953395"/>
      <w:bookmarkEnd w:id="1"/>
    </w:p>
    <w:p>
      <w:pPr>
        <w:pStyle w:val="17"/>
        <w:keepNext w:val="0"/>
        <w:keepLines w:val="0"/>
        <w:pageBreakBefore w:val="0"/>
        <w:widowControl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b/>
          <w:bCs/>
          <w:color w:val="auto"/>
          <w:sz w:val="48"/>
          <w:szCs w:val="48"/>
          <w:lang w:val="en-US" w:eastAsia="zh-CN"/>
        </w:rPr>
      </w:pPr>
      <w:r>
        <w:rPr>
          <w:rFonts w:hint="eastAsia" w:cs="宋体"/>
          <w:b/>
          <w:bCs/>
          <w:color w:val="auto"/>
          <w:sz w:val="48"/>
          <w:szCs w:val="48"/>
          <w:lang w:val="en-US" w:eastAsia="zh-CN"/>
        </w:rPr>
        <w:t>驻马店市中心医院医用输血输液加温器采购项目</w:t>
      </w: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 w:val="48"/>
          <w:szCs w:val="48"/>
        </w:rPr>
      </w:pPr>
    </w:p>
    <w:p>
      <w:pPr>
        <w:pStyle w:val="17"/>
        <w:bidi w:val="0"/>
        <w:jc w:val="center"/>
        <w:rPr>
          <w:rStyle w:val="43"/>
          <w:rFonts w:hint="eastAsia" w:ascii="宋体" w:hAnsi="宋体" w:eastAsia="宋体" w:cs="宋体"/>
          <w:b/>
          <w:bCs/>
          <w:color w:val="auto"/>
          <w:szCs w:val="44"/>
        </w:rPr>
      </w:pPr>
      <w:r>
        <w:rPr>
          <w:rStyle w:val="43"/>
          <w:rFonts w:hint="eastAsia" w:cs="宋体"/>
          <w:b/>
          <w:bCs/>
          <w:color w:val="auto"/>
          <w:sz w:val="72"/>
          <w:szCs w:val="72"/>
          <w:lang w:val="en-US" w:eastAsia="zh-CN"/>
        </w:rPr>
        <w:t>采购</w:t>
      </w:r>
      <w:r>
        <w:rPr>
          <w:rStyle w:val="43"/>
          <w:rFonts w:hint="eastAsia" w:ascii="宋体" w:hAnsi="宋体" w:eastAsia="宋体" w:cs="宋体"/>
          <w:b/>
          <w:bCs/>
          <w:color w:val="auto"/>
          <w:sz w:val="72"/>
          <w:szCs w:val="72"/>
        </w:rPr>
        <w:t>文件</w:t>
      </w:r>
    </w:p>
    <w:p>
      <w:pPr>
        <w:tabs>
          <w:tab w:val="left" w:pos="2700"/>
          <w:tab w:val="left" w:pos="2880"/>
          <w:tab w:val="left" w:pos="3060"/>
          <w:tab w:val="left" w:pos="7560"/>
        </w:tabs>
        <w:snapToGrid w:val="0"/>
        <w:spacing w:line="360" w:lineRule="auto"/>
        <w:ind w:firstLine="1928" w:firstLineChars="600"/>
        <w:jc w:val="both"/>
        <w:rPr>
          <w:rFonts w:hint="eastAsia" w:ascii="宋体" w:hAnsi="宋体" w:eastAsia="宋体" w:cs="宋体"/>
          <w:b/>
          <w:bCs/>
          <w:color w:val="auto"/>
          <w:spacing w:val="-10"/>
          <w:sz w:val="34"/>
          <w:szCs w:val="34"/>
          <w:lang w:val="en-US" w:eastAsia="zh-CN"/>
        </w:rPr>
      </w:pPr>
    </w:p>
    <w:p>
      <w:pPr>
        <w:snapToGrid w:val="0"/>
        <w:spacing w:line="380" w:lineRule="exact"/>
        <w:jc w:val="center"/>
        <w:rPr>
          <w:rFonts w:hint="eastAsia" w:ascii="宋体" w:hAnsi="宋体" w:eastAsia="宋体" w:cs="宋体"/>
          <w:b/>
          <w:color w:val="auto"/>
          <w:sz w:val="32"/>
          <w:szCs w:val="32"/>
        </w:rPr>
      </w:pPr>
    </w:p>
    <w:p>
      <w:pPr>
        <w:pStyle w:val="30"/>
        <w:rPr>
          <w:rFonts w:hint="eastAsia"/>
          <w:color w:val="auto"/>
        </w:rPr>
      </w:pPr>
    </w:p>
    <w:p>
      <w:pPr>
        <w:pStyle w:val="58"/>
        <w:rPr>
          <w:rFonts w:hint="eastAsia" w:ascii="宋体" w:hAnsi="宋体" w:eastAsia="宋体" w:cs="宋体"/>
          <w:bCs/>
          <w:color w:val="auto"/>
          <w:sz w:val="2"/>
          <w:szCs w:val="2"/>
        </w:rPr>
      </w:pPr>
    </w:p>
    <w:p>
      <w:pPr>
        <w:rPr>
          <w:rFonts w:hint="eastAsia" w:ascii="宋体" w:hAnsi="宋体" w:eastAsia="宋体" w:cs="宋体"/>
          <w:bCs/>
          <w:color w:val="auto"/>
          <w:sz w:val="2"/>
          <w:szCs w:val="2"/>
        </w:rPr>
      </w:pPr>
    </w:p>
    <w:p>
      <w:pPr>
        <w:spacing w:line="20" w:lineRule="exact"/>
        <w:rPr>
          <w:rFonts w:hint="eastAsia" w:ascii="宋体" w:hAnsi="宋体" w:eastAsia="宋体" w:cs="宋体"/>
          <w:bCs/>
          <w:color w:val="auto"/>
          <w:sz w:val="2"/>
          <w:szCs w:val="2"/>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firstLine="1928" w:firstLineChars="600"/>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10"/>
          <w:sz w:val="34"/>
          <w:szCs w:val="34"/>
          <w:lang w:val="en-US" w:eastAsia="zh-CN"/>
        </w:rPr>
      </w:pPr>
    </w:p>
    <w:p>
      <w:pPr>
        <w:tabs>
          <w:tab w:val="left" w:pos="2700"/>
          <w:tab w:val="left" w:pos="2880"/>
          <w:tab w:val="left" w:pos="3060"/>
          <w:tab w:val="left" w:pos="7560"/>
        </w:tabs>
        <w:snapToGrid w:val="0"/>
        <w:spacing w:line="480" w:lineRule="auto"/>
        <w:ind w:left="0" w:leftChars="0" w:firstLine="0" w:firstLineChars="0"/>
        <w:jc w:val="center"/>
        <w:rPr>
          <w:rFonts w:hint="eastAsia" w:ascii="宋体" w:hAnsi="宋体" w:eastAsia="宋体" w:cs="宋体"/>
          <w:b/>
          <w:bCs/>
          <w:color w:val="auto"/>
          <w:spacing w:val="80"/>
          <w:sz w:val="34"/>
          <w:szCs w:val="34"/>
        </w:rPr>
      </w:pPr>
      <w:r>
        <w:rPr>
          <w:rFonts w:hint="eastAsia" w:ascii="宋体" w:hAnsi="宋体" w:eastAsia="宋体" w:cs="宋体"/>
          <w:b/>
          <w:bCs/>
          <w:color w:val="auto"/>
          <w:spacing w:val="-10"/>
          <w:sz w:val="34"/>
          <w:szCs w:val="34"/>
          <w:lang w:val="en-US" w:eastAsia="zh-CN"/>
        </w:rPr>
        <w:t>采 购</w:t>
      </w:r>
      <w:r>
        <w:rPr>
          <w:rFonts w:hint="eastAsia" w:ascii="宋体" w:hAnsi="宋体" w:eastAsia="宋体" w:cs="宋体"/>
          <w:b/>
          <w:bCs/>
          <w:color w:val="auto"/>
          <w:spacing w:val="-10"/>
          <w:sz w:val="34"/>
          <w:szCs w:val="34"/>
        </w:rPr>
        <w:t xml:space="preserve"> 人：驻马店市中心医院</w:t>
      </w:r>
    </w:p>
    <w:p>
      <w:pPr>
        <w:tabs>
          <w:tab w:val="left" w:pos="2505"/>
          <w:tab w:val="center" w:pos="4535"/>
        </w:tabs>
        <w:snapToGrid w:val="0"/>
        <w:spacing w:line="480" w:lineRule="auto"/>
        <w:jc w:val="center"/>
        <w:rPr>
          <w:rFonts w:hint="eastAsia" w:ascii="宋体" w:hAnsi="宋体" w:eastAsia="宋体" w:cs="宋体"/>
          <w:b/>
          <w:color w:val="auto"/>
          <w:sz w:val="36"/>
          <w:szCs w:val="36"/>
        </w:rPr>
        <w:sectPr>
          <w:pgSz w:w="11923" w:h="16838"/>
          <w:pgMar w:top="1304" w:right="1417" w:bottom="992" w:left="1417" w:header="720" w:footer="720" w:gutter="0"/>
          <w:pgNumType w:fmt="decimal" w:start="1"/>
          <w:cols w:space="720" w:num="1"/>
          <w:docGrid w:type="lines" w:linePitch="312" w:charSpace="0"/>
        </w:sectPr>
      </w:pPr>
      <w:r>
        <w:rPr>
          <w:rFonts w:hint="eastAsia" w:ascii="宋体" w:hAnsi="宋体" w:eastAsia="宋体" w:cs="宋体"/>
          <w:b/>
          <w:bCs/>
          <w:color w:val="auto"/>
          <w:spacing w:val="40"/>
          <w:sz w:val="34"/>
          <w:szCs w:val="34"/>
          <w:lang w:val="en-US" w:eastAsia="zh-CN"/>
        </w:rPr>
        <w:t>20</w:t>
      </w:r>
      <w:r>
        <w:rPr>
          <w:rFonts w:hint="eastAsia" w:ascii="宋体" w:hAnsi="宋体" w:cs="宋体"/>
          <w:b/>
          <w:bCs/>
          <w:color w:val="auto"/>
          <w:spacing w:val="40"/>
          <w:sz w:val="34"/>
          <w:szCs w:val="34"/>
          <w:lang w:val="en-US" w:eastAsia="zh-CN"/>
        </w:rPr>
        <w:t>23</w:t>
      </w:r>
      <w:r>
        <w:rPr>
          <w:rFonts w:hint="eastAsia" w:ascii="宋体" w:hAnsi="宋体" w:eastAsia="宋体" w:cs="宋体"/>
          <w:b/>
          <w:bCs/>
          <w:color w:val="auto"/>
          <w:spacing w:val="40"/>
          <w:sz w:val="34"/>
          <w:szCs w:val="34"/>
        </w:rPr>
        <w:t>年</w:t>
      </w:r>
      <w:r>
        <w:rPr>
          <w:rFonts w:hint="eastAsia" w:ascii="宋体" w:hAnsi="宋体" w:cs="宋体"/>
          <w:b/>
          <w:bCs/>
          <w:color w:val="auto"/>
          <w:spacing w:val="40"/>
          <w:sz w:val="34"/>
          <w:szCs w:val="34"/>
          <w:lang w:val="en-US" w:eastAsia="zh-CN"/>
        </w:rPr>
        <w:t>03</w:t>
      </w:r>
      <w:r>
        <w:rPr>
          <w:rFonts w:hint="eastAsia" w:ascii="宋体" w:hAnsi="宋体" w:eastAsia="宋体" w:cs="宋体"/>
          <w:b/>
          <w:bCs/>
          <w:color w:val="auto"/>
          <w:spacing w:val="40"/>
          <w:sz w:val="34"/>
          <w:szCs w:val="34"/>
        </w:rPr>
        <w:t>月</w:t>
      </w:r>
    </w:p>
    <w:p>
      <w:pPr>
        <w:rPr>
          <w:rFonts w:ascii="宋体" w:hAnsi="宋体"/>
          <w:bCs/>
          <w:color w:val="auto"/>
          <w:sz w:val="24"/>
          <w:highlight w:val="none"/>
        </w:rPr>
      </w:pPr>
    </w:p>
    <w:p>
      <w:pPr>
        <w:jc w:val="center"/>
        <w:rPr>
          <w:rFonts w:ascii="宋体" w:hAnsi="宋体" w:cs="宋体"/>
          <w:b/>
          <w:bCs/>
          <w:color w:val="auto"/>
          <w:sz w:val="36"/>
          <w:szCs w:val="36"/>
          <w:highlight w:val="none"/>
        </w:rPr>
      </w:pPr>
      <w:r>
        <w:rPr>
          <w:rFonts w:hint="eastAsia" w:ascii="宋体" w:hAnsi="宋体" w:cs="宋体"/>
          <w:b/>
          <w:bCs/>
          <w:color w:val="auto"/>
          <w:sz w:val="36"/>
          <w:szCs w:val="36"/>
          <w:highlight w:val="none"/>
        </w:rPr>
        <w:t>目录</w:t>
      </w:r>
    </w:p>
    <w:p>
      <w:pPr>
        <w:pStyle w:val="52"/>
        <w:rPr>
          <w:color w:val="auto"/>
          <w:sz w:val="36"/>
          <w:szCs w:val="24"/>
          <w:highlight w:val="none"/>
        </w:rPr>
      </w:pPr>
    </w:p>
    <w:p>
      <w:pPr>
        <w:pStyle w:val="23"/>
        <w:tabs>
          <w:tab w:val="right" w:leader="dot" w:pos="8958"/>
        </w:tabs>
        <w:spacing w:line="360" w:lineRule="auto"/>
        <w:rPr>
          <w:sz w:val="28"/>
          <w:szCs w:val="36"/>
        </w:rPr>
      </w:pPr>
      <w:r>
        <w:rPr>
          <w:rFonts w:hint="eastAsia" w:ascii="宋体" w:hAnsi="宋体" w:cs="宋体"/>
          <w:b/>
          <w:bCs/>
          <w:color w:val="auto"/>
          <w:sz w:val="56"/>
          <w:szCs w:val="56"/>
          <w:highlight w:val="none"/>
        </w:rPr>
        <w:fldChar w:fldCharType="begin"/>
      </w:r>
      <w:r>
        <w:rPr>
          <w:rFonts w:hint="eastAsia" w:ascii="宋体" w:hAnsi="宋体" w:cs="宋体"/>
          <w:b/>
          <w:bCs/>
          <w:color w:val="auto"/>
          <w:sz w:val="56"/>
          <w:szCs w:val="56"/>
          <w:highlight w:val="none"/>
        </w:rPr>
        <w:instrText xml:space="preserve">TOC \o "1-1" \h \u </w:instrText>
      </w:r>
      <w:r>
        <w:rPr>
          <w:rFonts w:hint="eastAsia" w:ascii="宋体" w:hAnsi="宋体" w:cs="宋体"/>
          <w:b/>
          <w:bCs/>
          <w:color w:val="auto"/>
          <w:sz w:val="56"/>
          <w:szCs w:val="56"/>
          <w:highlight w:val="none"/>
        </w:rPr>
        <w:fldChar w:fldCharType="separate"/>
      </w:r>
      <w:r>
        <w:rPr>
          <w:rFonts w:hint="eastAsia" w:ascii="宋体" w:hAnsi="宋体" w:cs="宋体"/>
          <w:bCs/>
          <w:color w:val="auto"/>
          <w:sz w:val="28"/>
          <w:szCs w:val="56"/>
          <w:highlight w:val="none"/>
        </w:rPr>
        <w:fldChar w:fldCharType="begin"/>
      </w:r>
      <w:r>
        <w:rPr>
          <w:rFonts w:hint="eastAsia" w:ascii="宋体" w:hAnsi="宋体" w:cs="宋体"/>
          <w:bCs/>
          <w:sz w:val="28"/>
          <w:szCs w:val="56"/>
          <w:highlight w:val="none"/>
        </w:rPr>
        <w:instrText xml:space="preserve"> HYPERLINK \l _Toc21195 </w:instrText>
      </w:r>
      <w:r>
        <w:rPr>
          <w:rFonts w:hint="eastAsia" w:ascii="宋体" w:hAnsi="宋体" w:cs="宋体"/>
          <w:bCs/>
          <w:sz w:val="28"/>
          <w:szCs w:val="56"/>
          <w:highlight w:val="none"/>
        </w:rPr>
        <w:fldChar w:fldCharType="separate"/>
      </w:r>
      <w:r>
        <w:rPr>
          <w:rFonts w:hint="eastAsia" w:ascii="宋体" w:hAnsi="宋体"/>
          <w:sz w:val="28"/>
          <w:szCs w:val="52"/>
          <w:highlight w:val="none"/>
        </w:rPr>
        <w:t xml:space="preserve">第一章  </w:t>
      </w:r>
      <w:r>
        <w:rPr>
          <w:rFonts w:hint="eastAsia" w:ascii="宋体" w:hAnsi="宋体"/>
          <w:sz w:val="28"/>
          <w:szCs w:val="52"/>
          <w:highlight w:val="none"/>
          <w:lang w:val="en-US" w:eastAsia="zh-CN"/>
        </w:rPr>
        <w:t>竞争性磋商采购</w:t>
      </w:r>
      <w:r>
        <w:rPr>
          <w:rFonts w:hint="eastAsia" w:ascii="宋体" w:hAnsi="宋体"/>
          <w:sz w:val="28"/>
          <w:szCs w:val="52"/>
          <w:highlight w:val="none"/>
        </w:rPr>
        <w:t>公告</w:t>
      </w:r>
      <w:r>
        <w:rPr>
          <w:sz w:val="28"/>
          <w:szCs w:val="36"/>
        </w:rPr>
        <w:tab/>
      </w:r>
      <w:r>
        <w:rPr>
          <w:sz w:val="28"/>
          <w:szCs w:val="36"/>
        </w:rPr>
        <w:fldChar w:fldCharType="begin"/>
      </w:r>
      <w:r>
        <w:rPr>
          <w:sz w:val="28"/>
          <w:szCs w:val="36"/>
        </w:rPr>
        <w:instrText xml:space="preserve"> PAGEREF _Toc21195 \h </w:instrText>
      </w:r>
      <w:r>
        <w:rPr>
          <w:sz w:val="28"/>
          <w:szCs w:val="36"/>
        </w:rPr>
        <w:fldChar w:fldCharType="separate"/>
      </w:r>
      <w:r>
        <w:rPr>
          <w:sz w:val="28"/>
          <w:szCs w:val="36"/>
        </w:rPr>
        <w:t>2</w:t>
      </w:r>
      <w:r>
        <w:rPr>
          <w:sz w:val="28"/>
          <w:szCs w:val="36"/>
        </w:rPr>
        <w:fldChar w:fldCharType="end"/>
      </w:r>
      <w:r>
        <w:rPr>
          <w:rFonts w:hint="eastAsia" w:ascii="宋体" w:hAnsi="宋体" w:cs="宋体"/>
          <w:bCs/>
          <w:color w:val="auto"/>
          <w:sz w:val="28"/>
          <w:szCs w:val="56"/>
          <w:highlight w:val="none"/>
        </w:rPr>
        <w:fldChar w:fldCharType="end"/>
      </w:r>
    </w:p>
    <w:p>
      <w:pPr>
        <w:pStyle w:val="23"/>
        <w:tabs>
          <w:tab w:val="right" w:leader="dot" w:pos="8958"/>
        </w:tabs>
        <w:spacing w:line="360" w:lineRule="auto"/>
        <w:rPr>
          <w:sz w:val="28"/>
          <w:szCs w:val="36"/>
        </w:rPr>
      </w:pPr>
      <w:r>
        <w:rPr>
          <w:rFonts w:hint="eastAsia" w:ascii="宋体" w:hAnsi="宋体" w:cs="宋体"/>
          <w:bCs/>
          <w:color w:val="auto"/>
          <w:sz w:val="28"/>
          <w:szCs w:val="56"/>
          <w:highlight w:val="none"/>
        </w:rPr>
        <w:fldChar w:fldCharType="begin"/>
      </w:r>
      <w:r>
        <w:rPr>
          <w:rFonts w:hint="eastAsia" w:ascii="宋体" w:hAnsi="宋体" w:cs="宋体"/>
          <w:bCs/>
          <w:sz w:val="28"/>
          <w:szCs w:val="56"/>
          <w:highlight w:val="none"/>
        </w:rPr>
        <w:instrText xml:space="preserve"> HYPERLINK \l _Toc26828 </w:instrText>
      </w:r>
      <w:r>
        <w:rPr>
          <w:rFonts w:hint="eastAsia" w:ascii="宋体" w:hAnsi="宋体" w:cs="宋体"/>
          <w:bCs/>
          <w:sz w:val="28"/>
          <w:szCs w:val="56"/>
          <w:highlight w:val="none"/>
        </w:rPr>
        <w:fldChar w:fldCharType="separate"/>
      </w:r>
      <w:r>
        <w:rPr>
          <w:rFonts w:hint="eastAsia" w:ascii="宋体" w:hAnsi="宋体"/>
          <w:sz w:val="28"/>
          <w:szCs w:val="52"/>
          <w:highlight w:val="none"/>
        </w:rPr>
        <w:t xml:space="preserve">第二章  </w:t>
      </w:r>
      <w:r>
        <w:rPr>
          <w:rFonts w:hint="eastAsia" w:ascii="宋体" w:hAnsi="宋体"/>
          <w:sz w:val="28"/>
          <w:szCs w:val="52"/>
          <w:highlight w:val="none"/>
          <w:lang w:eastAsia="zh-CN"/>
        </w:rPr>
        <w:t>采购</w:t>
      </w:r>
      <w:r>
        <w:rPr>
          <w:rFonts w:hint="eastAsia" w:ascii="宋体" w:hAnsi="宋体"/>
          <w:sz w:val="28"/>
          <w:szCs w:val="52"/>
          <w:highlight w:val="none"/>
        </w:rPr>
        <w:t>需求</w:t>
      </w:r>
      <w:r>
        <w:rPr>
          <w:sz w:val="28"/>
          <w:szCs w:val="36"/>
        </w:rPr>
        <w:tab/>
      </w:r>
      <w:r>
        <w:rPr>
          <w:sz w:val="28"/>
          <w:szCs w:val="36"/>
        </w:rPr>
        <w:fldChar w:fldCharType="begin"/>
      </w:r>
      <w:r>
        <w:rPr>
          <w:sz w:val="28"/>
          <w:szCs w:val="36"/>
        </w:rPr>
        <w:instrText xml:space="preserve"> PAGEREF _Toc26828 \h </w:instrText>
      </w:r>
      <w:r>
        <w:rPr>
          <w:sz w:val="28"/>
          <w:szCs w:val="36"/>
        </w:rPr>
        <w:fldChar w:fldCharType="separate"/>
      </w:r>
      <w:r>
        <w:rPr>
          <w:sz w:val="28"/>
          <w:szCs w:val="36"/>
        </w:rPr>
        <w:t>4</w:t>
      </w:r>
      <w:r>
        <w:rPr>
          <w:sz w:val="28"/>
          <w:szCs w:val="36"/>
        </w:rPr>
        <w:fldChar w:fldCharType="end"/>
      </w:r>
      <w:r>
        <w:rPr>
          <w:rFonts w:hint="eastAsia" w:ascii="宋体" w:hAnsi="宋体" w:cs="宋体"/>
          <w:bCs/>
          <w:color w:val="auto"/>
          <w:sz w:val="28"/>
          <w:szCs w:val="56"/>
          <w:highlight w:val="none"/>
        </w:rPr>
        <w:fldChar w:fldCharType="end"/>
      </w:r>
    </w:p>
    <w:p>
      <w:pPr>
        <w:pStyle w:val="23"/>
        <w:tabs>
          <w:tab w:val="right" w:leader="dot" w:pos="8958"/>
        </w:tabs>
        <w:spacing w:line="360" w:lineRule="auto"/>
        <w:rPr>
          <w:sz w:val="28"/>
          <w:szCs w:val="36"/>
        </w:rPr>
      </w:pPr>
      <w:r>
        <w:rPr>
          <w:rFonts w:hint="eastAsia" w:ascii="宋体" w:hAnsi="宋体" w:cs="宋体"/>
          <w:bCs/>
          <w:color w:val="auto"/>
          <w:sz w:val="28"/>
          <w:szCs w:val="56"/>
          <w:highlight w:val="none"/>
        </w:rPr>
        <w:fldChar w:fldCharType="begin"/>
      </w:r>
      <w:r>
        <w:rPr>
          <w:rFonts w:hint="eastAsia" w:ascii="宋体" w:hAnsi="宋体" w:cs="宋体"/>
          <w:bCs/>
          <w:sz w:val="28"/>
          <w:szCs w:val="56"/>
          <w:highlight w:val="none"/>
        </w:rPr>
        <w:instrText xml:space="preserve"> HYPERLINK \l _Toc12002 </w:instrText>
      </w:r>
      <w:r>
        <w:rPr>
          <w:rFonts w:hint="eastAsia" w:ascii="宋体" w:hAnsi="宋体" w:cs="宋体"/>
          <w:bCs/>
          <w:sz w:val="28"/>
          <w:szCs w:val="56"/>
          <w:highlight w:val="none"/>
        </w:rPr>
        <w:fldChar w:fldCharType="separate"/>
      </w:r>
      <w:r>
        <w:rPr>
          <w:rFonts w:hint="eastAsia"/>
          <w:sz w:val="28"/>
          <w:szCs w:val="52"/>
          <w:highlight w:val="none"/>
        </w:rPr>
        <w:t>第三章  投标人须知</w:t>
      </w:r>
      <w:r>
        <w:rPr>
          <w:sz w:val="28"/>
          <w:szCs w:val="36"/>
        </w:rPr>
        <w:tab/>
      </w:r>
      <w:r>
        <w:rPr>
          <w:sz w:val="28"/>
          <w:szCs w:val="36"/>
        </w:rPr>
        <w:fldChar w:fldCharType="begin"/>
      </w:r>
      <w:r>
        <w:rPr>
          <w:sz w:val="28"/>
          <w:szCs w:val="36"/>
        </w:rPr>
        <w:instrText xml:space="preserve"> PAGEREF _Toc12002 \h </w:instrText>
      </w:r>
      <w:r>
        <w:rPr>
          <w:sz w:val="28"/>
          <w:szCs w:val="36"/>
        </w:rPr>
        <w:fldChar w:fldCharType="separate"/>
      </w:r>
      <w:r>
        <w:rPr>
          <w:sz w:val="28"/>
          <w:szCs w:val="36"/>
        </w:rPr>
        <w:t>6</w:t>
      </w:r>
      <w:r>
        <w:rPr>
          <w:sz w:val="28"/>
          <w:szCs w:val="36"/>
        </w:rPr>
        <w:fldChar w:fldCharType="end"/>
      </w:r>
      <w:r>
        <w:rPr>
          <w:rFonts w:hint="eastAsia" w:ascii="宋体" w:hAnsi="宋体" w:cs="宋体"/>
          <w:bCs/>
          <w:color w:val="auto"/>
          <w:sz w:val="28"/>
          <w:szCs w:val="56"/>
          <w:highlight w:val="none"/>
        </w:rPr>
        <w:fldChar w:fldCharType="end"/>
      </w:r>
    </w:p>
    <w:p>
      <w:pPr>
        <w:pStyle w:val="23"/>
        <w:tabs>
          <w:tab w:val="right" w:leader="dot" w:pos="8958"/>
        </w:tabs>
        <w:spacing w:line="360" w:lineRule="auto"/>
        <w:rPr>
          <w:sz w:val="28"/>
          <w:szCs w:val="36"/>
        </w:rPr>
      </w:pPr>
      <w:r>
        <w:rPr>
          <w:rFonts w:hint="eastAsia" w:ascii="宋体" w:hAnsi="宋体" w:cs="宋体"/>
          <w:bCs/>
          <w:color w:val="auto"/>
          <w:sz w:val="28"/>
          <w:szCs w:val="56"/>
          <w:highlight w:val="none"/>
        </w:rPr>
        <w:fldChar w:fldCharType="begin"/>
      </w:r>
      <w:r>
        <w:rPr>
          <w:rFonts w:hint="eastAsia" w:ascii="宋体" w:hAnsi="宋体" w:cs="宋体"/>
          <w:bCs/>
          <w:sz w:val="28"/>
          <w:szCs w:val="56"/>
          <w:highlight w:val="none"/>
        </w:rPr>
        <w:instrText xml:space="preserve"> HYPERLINK \l _Toc23054 </w:instrText>
      </w:r>
      <w:r>
        <w:rPr>
          <w:rFonts w:hint="eastAsia" w:ascii="宋体" w:hAnsi="宋体" w:cs="宋体"/>
          <w:bCs/>
          <w:sz w:val="28"/>
          <w:szCs w:val="56"/>
          <w:highlight w:val="none"/>
        </w:rPr>
        <w:fldChar w:fldCharType="separate"/>
      </w:r>
      <w:r>
        <w:rPr>
          <w:rFonts w:hint="eastAsia" w:ascii="宋体" w:hAnsi="宋体" w:eastAsia="宋体" w:cs="宋体"/>
          <w:bCs/>
          <w:kern w:val="0"/>
          <w:sz w:val="28"/>
          <w:szCs w:val="52"/>
          <w:highlight w:val="none"/>
        </w:rPr>
        <w:t>第四章  评标办法及评分标准</w:t>
      </w:r>
      <w:r>
        <w:rPr>
          <w:sz w:val="28"/>
          <w:szCs w:val="36"/>
        </w:rPr>
        <w:tab/>
      </w:r>
      <w:r>
        <w:rPr>
          <w:sz w:val="28"/>
          <w:szCs w:val="36"/>
        </w:rPr>
        <w:fldChar w:fldCharType="begin"/>
      </w:r>
      <w:r>
        <w:rPr>
          <w:sz w:val="28"/>
          <w:szCs w:val="36"/>
        </w:rPr>
        <w:instrText xml:space="preserve"> PAGEREF _Toc23054 \h </w:instrText>
      </w:r>
      <w:r>
        <w:rPr>
          <w:sz w:val="28"/>
          <w:szCs w:val="36"/>
        </w:rPr>
        <w:fldChar w:fldCharType="separate"/>
      </w:r>
      <w:r>
        <w:rPr>
          <w:sz w:val="28"/>
          <w:szCs w:val="36"/>
        </w:rPr>
        <w:t>19</w:t>
      </w:r>
      <w:r>
        <w:rPr>
          <w:sz w:val="28"/>
          <w:szCs w:val="36"/>
        </w:rPr>
        <w:fldChar w:fldCharType="end"/>
      </w:r>
      <w:r>
        <w:rPr>
          <w:rFonts w:hint="eastAsia" w:ascii="宋体" w:hAnsi="宋体" w:cs="宋体"/>
          <w:bCs/>
          <w:color w:val="auto"/>
          <w:sz w:val="28"/>
          <w:szCs w:val="56"/>
          <w:highlight w:val="none"/>
        </w:rPr>
        <w:fldChar w:fldCharType="end"/>
      </w:r>
    </w:p>
    <w:p>
      <w:pPr>
        <w:pStyle w:val="23"/>
        <w:tabs>
          <w:tab w:val="right" w:leader="dot" w:pos="8958"/>
        </w:tabs>
        <w:spacing w:line="360" w:lineRule="auto"/>
        <w:rPr>
          <w:sz w:val="28"/>
          <w:szCs w:val="36"/>
        </w:rPr>
      </w:pPr>
      <w:r>
        <w:rPr>
          <w:rFonts w:hint="eastAsia" w:ascii="宋体" w:hAnsi="宋体" w:cs="宋体"/>
          <w:bCs/>
          <w:color w:val="auto"/>
          <w:sz w:val="28"/>
          <w:szCs w:val="56"/>
          <w:highlight w:val="none"/>
        </w:rPr>
        <w:fldChar w:fldCharType="begin"/>
      </w:r>
      <w:r>
        <w:rPr>
          <w:rFonts w:hint="eastAsia" w:ascii="宋体" w:hAnsi="宋体" w:cs="宋体"/>
          <w:bCs/>
          <w:sz w:val="28"/>
          <w:szCs w:val="56"/>
          <w:highlight w:val="none"/>
        </w:rPr>
        <w:instrText xml:space="preserve"> HYPERLINK \l _Toc32036 </w:instrText>
      </w:r>
      <w:r>
        <w:rPr>
          <w:rFonts w:hint="eastAsia" w:ascii="宋体" w:hAnsi="宋体" w:cs="宋体"/>
          <w:bCs/>
          <w:sz w:val="28"/>
          <w:szCs w:val="56"/>
          <w:highlight w:val="none"/>
        </w:rPr>
        <w:fldChar w:fldCharType="separate"/>
      </w:r>
      <w:r>
        <w:rPr>
          <w:rFonts w:hint="eastAsia"/>
          <w:sz w:val="28"/>
          <w:szCs w:val="52"/>
          <w:highlight w:val="none"/>
        </w:rPr>
        <w:t>第五章  采购合同</w:t>
      </w:r>
      <w:r>
        <w:rPr>
          <w:sz w:val="28"/>
          <w:szCs w:val="36"/>
        </w:rPr>
        <w:tab/>
      </w:r>
      <w:r>
        <w:rPr>
          <w:sz w:val="28"/>
          <w:szCs w:val="36"/>
        </w:rPr>
        <w:fldChar w:fldCharType="begin"/>
      </w:r>
      <w:r>
        <w:rPr>
          <w:sz w:val="28"/>
          <w:szCs w:val="36"/>
        </w:rPr>
        <w:instrText xml:space="preserve"> PAGEREF _Toc32036 \h </w:instrText>
      </w:r>
      <w:r>
        <w:rPr>
          <w:sz w:val="28"/>
          <w:szCs w:val="36"/>
        </w:rPr>
        <w:fldChar w:fldCharType="separate"/>
      </w:r>
      <w:r>
        <w:rPr>
          <w:sz w:val="28"/>
          <w:szCs w:val="36"/>
        </w:rPr>
        <w:t>21</w:t>
      </w:r>
      <w:r>
        <w:rPr>
          <w:sz w:val="28"/>
          <w:szCs w:val="36"/>
        </w:rPr>
        <w:fldChar w:fldCharType="end"/>
      </w:r>
      <w:r>
        <w:rPr>
          <w:rFonts w:hint="eastAsia" w:ascii="宋体" w:hAnsi="宋体" w:cs="宋体"/>
          <w:bCs/>
          <w:color w:val="auto"/>
          <w:sz w:val="28"/>
          <w:szCs w:val="56"/>
          <w:highlight w:val="none"/>
        </w:rPr>
        <w:fldChar w:fldCharType="end"/>
      </w:r>
    </w:p>
    <w:p>
      <w:pPr>
        <w:pStyle w:val="23"/>
        <w:tabs>
          <w:tab w:val="right" w:leader="dot" w:pos="8958"/>
        </w:tabs>
        <w:spacing w:line="360" w:lineRule="auto"/>
        <w:rPr>
          <w:sz w:val="28"/>
          <w:szCs w:val="36"/>
        </w:rPr>
      </w:pPr>
      <w:r>
        <w:rPr>
          <w:rFonts w:hint="eastAsia" w:ascii="宋体" w:hAnsi="宋体" w:cs="宋体"/>
          <w:bCs/>
          <w:color w:val="auto"/>
          <w:sz w:val="28"/>
          <w:szCs w:val="56"/>
          <w:highlight w:val="none"/>
        </w:rPr>
        <w:fldChar w:fldCharType="begin"/>
      </w:r>
      <w:r>
        <w:rPr>
          <w:rFonts w:hint="eastAsia" w:ascii="宋体" w:hAnsi="宋体" w:cs="宋体"/>
          <w:bCs/>
          <w:sz w:val="28"/>
          <w:szCs w:val="56"/>
          <w:highlight w:val="none"/>
        </w:rPr>
        <w:instrText xml:space="preserve"> HYPERLINK \l _Toc8994 </w:instrText>
      </w:r>
      <w:r>
        <w:rPr>
          <w:rFonts w:hint="eastAsia" w:ascii="宋体" w:hAnsi="宋体" w:cs="宋体"/>
          <w:bCs/>
          <w:sz w:val="28"/>
          <w:szCs w:val="56"/>
          <w:highlight w:val="none"/>
        </w:rPr>
        <w:fldChar w:fldCharType="separate"/>
      </w:r>
      <w:r>
        <w:rPr>
          <w:rFonts w:hint="eastAsia"/>
          <w:sz w:val="28"/>
          <w:szCs w:val="56"/>
          <w:highlight w:val="none"/>
        </w:rPr>
        <w:t>第六章  投标文件格式</w:t>
      </w:r>
      <w:r>
        <w:rPr>
          <w:sz w:val="28"/>
          <w:szCs w:val="36"/>
        </w:rPr>
        <w:tab/>
      </w:r>
      <w:r>
        <w:rPr>
          <w:sz w:val="28"/>
          <w:szCs w:val="36"/>
        </w:rPr>
        <w:fldChar w:fldCharType="begin"/>
      </w:r>
      <w:r>
        <w:rPr>
          <w:sz w:val="28"/>
          <w:szCs w:val="36"/>
        </w:rPr>
        <w:instrText xml:space="preserve"> PAGEREF _Toc8994 \h </w:instrText>
      </w:r>
      <w:r>
        <w:rPr>
          <w:sz w:val="28"/>
          <w:szCs w:val="36"/>
        </w:rPr>
        <w:fldChar w:fldCharType="separate"/>
      </w:r>
      <w:r>
        <w:rPr>
          <w:sz w:val="28"/>
          <w:szCs w:val="36"/>
        </w:rPr>
        <w:t>22</w:t>
      </w:r>
      <w:r>
        <w:rPr>
          <w:sz w:val="28"/>
          <w:szCs w:val="36"/>
        </w:rPr>
        <w:fldChar w:fldCharType="end"/>
      </w:r>
      <w:r>
        <w:rPr>
          <w:rFonts w:hint="eastAsia" w:ascii="宋体" w:hAnsi="宋体" w:cs="宋体"/>
          <w:bCs/>
          <w:color w:val="auto"/>
          <w:sz w:val="28"/>
          <w:szCs w:val="56"/>
          <w:highlight w:val="none"/>
        </w:rPr>
        <w:fldChar w:fldCharType="end"/>
      </w:r>
    </w:p>
    <w:p>
      <w:pPr>
        <w:pStyle w:val="82"/>
        <w:tabs>
          <w:tab w:val="right" w:leader="dot" w:pos="8300"/>
        </w:tabs>
        <w:snapToGrid w:val="0"/>
        <w:spacing w:line="360" w:lineRule="auto"/>
        <w:rPr>
          <w:rFonts w:ascii="宋体" w:hAnsi="宋体" w:cs="宋体"/>
          <w:color w:val="auto"/>
          <w:sz w:val="32"/>
          <w:szCs w:val="32"/>
          <w:highlight w:val="none"/>
        </w:rPr>
      </w:pPr>
      <w:r>
        <w:rPr>
          <w:rFonts w:hint="eastAsia" w:ascii="宋体" w:hAnsi="宋体" w:cs="宋体"/>
          <w:bCs/>
          <w:color w:val="auto"/>
          <w:sz w:val="24"/>
          <w:szCs w:val="56"/>
          <w:highlight w:val="none"/>
        </w:rPr>
        <w:fldChar w:fldCharType="end"/>
      </w:r>
    </w:p>
    <w:p>
      <w:pPr>
        <w:spacing w:line="440" w:lineRule="exact"/>
        <w:rPr>
          <w:rFonts w:ascii="宋体" w:hAnsi="宋体"/>
          <w:b/>
          <w:color w:val="auto"/>
          <w:sz w:val="32"/>
          <w:szCs w:val="32"/>
          <w:highlight w:val="none"/>
        </w:rPr>
      </w:pPr>
    </w:p>
    <w:p>
      <w:pPr>
        <w:spacing w:line="360" w:lineRule="auto"/>
        <w:ind w:firstLine="2409" w:firstLineChars="600"/>
        <w:rPr>
          <w:rFonts w:ascii="宋体" w:hAnsi="宋体"/>
          <w:b/>
          <w:color w:val="auto"/>
          <w:sz w:val="40"/>
          <w:szCs w:val="40"/>
          <w:highlight w:val="none"/>
        </w:rPr>
        <w:sectPr>
          <w:headerReference r:id="rId3" w:type="default"/>
          <w:footerReference r:id="rId4" w:type="default"/>
          <w:pgSz w:w="11906" w:h="16838"/>
          <w:pgMar w:top="1417" w:right="1474" w:bottom="1417" w:left="1474" w:header="851" w:footer="624" w:gutter="0"/>
          <w:pgNumType w:fmt="decimal" w:start="1"/>
          <w:cols w:space="720" w:num="1"/>
          <w:docGrid w:type="lines" w:linePitch="319" w:charSpace="0"/>
        </w:sectPr>
      </w:pPr>
    </w:p>
    <w:p>
      <w:pPr>
        <w:spacing w:line="360" w:lineRule="auto"/>
        <w:jc w:val="center"/>
        <w:outlineLvl w:val="0"/>
        <w:rPr>
          <w:rFonts w:ascii="宋体" w:hAnsi="宋体"/>
          <w:b/>
          <w:color w:val="auto"/>
          <w:sz w:val="32"/>
          <w:szCs w:val="32"/>
          <w:highlight w:val="none"/>
        </w:rPr>
      </w:pPr>
      <w:bookmarkStart w:id="2" w:name="_Toc21195"/>
      <w:r>
        <w:rPr>
          <w:rFonts w:hint="eastAsia" w:ascii="宋体" w:hAnsi="宋体"/>
          <w:b/>
          <w:color w:val="auto"/>
          <w:sz w:val="40"/>
          <w:szCs w:val="40"/>
          <w:highlight w:val="none"/>
        </w:rPr>
        <w:t xml:space="preserve">第一章  </w:t>
      </w:r>
      <w:r>
        <w:rPr>
          <w:rFonts w:hint="eastAsia" w:ascii="宋体" w:hAnsi="宋体"/>
          <w:b/>
          <w:color w:val="auto"/>
          <w:sz w:val="40"/>
          <w:szCs w:val="40"/>
          <w:highlight w:val="none"/>
          <w:lang w:val="en-US" w:eastAsia="zh-CN"/>
        </w:rPr>
        <w:t>竞争性磋商采购</w:t>
      </w:r>
      <w:r>
        <w:rPr>
          <w:rFonts w:hint="eastAsia" w:ascii="宋体" w:hAnsi="宋体"/>
          <w:b/>
          <w:color w:val="auto"/>
          <w:sz w:val="40"/>
          <w:szCs w:val="40"/>
          <w:highlight w:val="none"/>
        </w:rPr>
        <w:t>公告</w:t>
      </w:r>
      <w:bookmarkEnd w:id="2"/>
    </w:p>
    <w:p>
      <w:pPr>
        <w:keepNext w:val="0"/>
        <w:keepLines w:val="0"/>
        <w:pageBreakBefore w:val="0"/>
        <w:widowControl/>
        <w:kinsoku/>
        <w:wordWrap/>
        <w:overflowPunct/>
        <w:topLinePunct w:val="0"/>
        <w:autoSpaceDE/>
        <w:autoSpaceDN/>
        <w:bidi w:val="0"/>
        <w:adjustRightInd w:val="0"/>
        <w:snapToGrid w:val="0"/>
        <w:spacing w:line="360" w:lineRule="auto"/>
        <w:jc w:val="center"/>
        <w:textAlignment w:val="auto"/>
        <w:rPr>
          <w:rFonts w:hint="eastAsia" w:ascii="黑体" w:hAnsi="黑体" w:eastAsia="黑体" w:cs="宋体"/>
          <w:bCs/>
          <w:color w:val="auto"/>
          <w:kern w:val="0"/>
          <w:sz w:val="32"/>
          <w:szCs w:val="32"/>
        </w:rPr>
      </w:pPr>
      <w:r>
        <w:rPr>
          <w:rFonts w:hint="eastAsia" w:ascii="黑体" w:hAnsi="黑体" w:eastAsia="黑体" w:cs="宋体"/>
          <w:b/>
          <w:bCs w:val="0"/>
          <w:color w:val="auto"/>
          <w:kern w:val="0"/>
          <w:sz w:val="28"/>
          <w:szCs w:val="28"/>
          <w:u w:val="none"/>
          <w:lang w:val="en-US" w:eastAsia="zh-CN"/>
        </w:rPr>
        <w:t>驻马店市中心医院医用输血输液加温器采购项目竞争性磋商</w:t>
      </w:r>
      <w:r>
        <w:rPr>
          <w:rFonts w:hint="eastAsia" w:ascii="黑体" w:hAnsi="黑体" w:eastAsia="黑体" w:cs="宋体"/>
          <w:b/>
          <w:bCs w:val="0"/>
          <w:color w:val="auto"/>
          <w:kern w:val="0"/>
          <w:sz w:val="28"/>
          <w:szCs w:val="28"/>
        </w:rPr>
        <w:t>公告</w:t>
      </w:r>
    </w:p>
    <w:p>
      <w:pPr>
        <w:keepNext w:val="0"/>
        <w:keepLines w:val="0"/>
        <w:pageBreakBefore w:val="0"/>
        <w:kinsoku/>
        <w:overflowPunct/>
        <w:topLinePunct w:val="0"/>
        <w:bidi w:val="0"/>
        <w:snapToGrid w:val="0"/>
        <w:spacing w:line="360" w:lineRule="auto"/>
        <w:ind w:firstLine="480" w:firstLineChars="200"/>
        <w:textAlignment w:val="auto"/>
        <w:rPr>
          <w:rFonts w:hint="eastAsia" w:ascii="宋体" w:hAnsi="宋体" w:eastAsia="宋体" w:cs="宋体"/>
          <w:color w:val="auto"/>
          <w:sz w:val="24"/>
          <w:szCs w:val="24"/>
        </w:rPr>
      </w:pPr>
      <w:r>
        <w:rPr>
          <w:rFonts w:hint="eastAsia" w:ascii="宋体" w:hAnsi="宋体" w:eastAsia="宋体" w:cs="宋体"/>
          <w:color w:val="auto"/>
          <w:sz w:val="24"/>
          <w:szCs w:val="28"/>
        </w:rPr>
        <w:t>驻马店市中心医院现对</w:t>
      </w:r>
      <w:r>
        <w:rPr>
          <w:rFonts w:hint="eastAsia" w:ascii="宋体" w:hAnsi="宋体" w:eastAsia="宋体" w:cs="宋体"/>
          <w:color w:val="auto"/>
          <w:sz w:val="24"/>
          <w:szCs w:val="28"/>
          <w:u w:val="single"/>
        </w:rPr>
        <w:t xml:space="preserve"> </w:t>
      </w:r>
      <w:r>
        <w:rPr>
          <w:rFonts w:hint="eastAsia" w:ascii="宋体" w:hAnsi="宋体" w:eastAsia="宋体" w:cs="宋体"/>
          <w:color w:val="auto"/>
          <w:sz w:val="24"/>
          <w:szCs w:val="28"/>
          <w:u w:val="single"/>
          <w:lang w:eastAsia="zh-CN"/>
        </w:rPr>
        <w:t>医用输血输液加温器采购项目</w:t>
      </w:r>
      <w:r>
        <w:rPr>
          <w:rFonts w:hint="eastAsia" w:ascii="宋体" w:hAnsi="宋体" w:eastAsia="宋体" w:cs="宋体"/>
          <w:color w:val="auto"/>
          <w:sz w:val="24"/>
          <w:szCs w:val="28"/>
        </w:rPr>
        <w:t>进行院内</w:t>
      </w:r>
      <w:r>
        <w:rPr>
          <w:rFonts w:hint="eastAsia" w:ascii="宋体" w:hAnsi="宋体" w:eastAsia="宋体" w:cs="宋体"/>
          <w:color w:val="auto"/>
          <w:sz w:val="24"/>
          <w:szCs w:val="28"/>
          <w:lang w:val="en-US" w:eastAsia="zh-CN"/>
        </w:rPr>
        <w:t>竞争性磋商</w:t>
      </w:r>
      <w:r>
        <w:rPr>
          <w:rFonts w:hint="eastAsia" w:ascii="宋体" w:hAnsi="宋体" w:eastAsia="宋体" w:cs="宋体"/>
          <w:color w:val="auto"/>
          <w:sz w:val="24"/>
          <w:szCs w:val="28"/>
        </w:rPr>
        <w:t>采购，欢迎符合资格条件的供应商前来</w:t>
      </w:r>
      <w:r>
        <w:rPr>
          <w:rFonts w:hint="eastAsia" w:ascii="宋体" w:hAnsi="宋体" w:eastAsia="宋体" w:cs="宋体"/>
          <w:color w:val="auto"/>
          <w:sz w:val="24"/>
          <w:szCs w:val="28"/>
          <w:lang w:val="en-US" w:eastAsia="zh-CN"/>
        </w:rPr>
        <w:t>报名并</w:t>
      </w:r>
      <w:r>
        <w:rPr>
          <w:rFonts w:hint="eastAsia" w:ascii="宋体" w:hAnsi="宋体" w:eastAsia="宋体" w:cs="宋体"/>
          <w:color w:val="auto"/>
          <w:sz w:val="24"/>
          <w:szCs w:val="24"/>
        </w:rPr>
        <w:t>获取</w:t>
      </w:r>
      <w:r>
        <w:rPr>
          <w:rFonts w:hint="eastAsia" w:ascii="宋体" w:hAnsi="宋体" w:eastAsia="宋体" w:cs="宋体"/>
          <w:color w:val="auto"/>
          <w:sz w:val="24"/>
          <w:szCs w:val="24"/>
          <w:lang w:val="en-US" w:eastAsia="zh-CN"/>
        </w:rPr>
        <w:t>采购</w:t>
      </w:r>
      <w:r>
        <w:rPr>
          <w:rFonts w:hint="eastAsia" w:ascii="宋体" w:hAnsi="宋体" w:eastAsia="宋体" w:cs="宋体"/>
          <w:color w:val="auto"/>
          <w:sz w:val="24"/>
          <w:szCs w:val="24"/>
        </w:rPr>
        <w:t>文件。</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auto"/>
          <w:kern w:val="2"/>
          <w:sz w:val="24"/>
          <w:szCs w:val="24"/>
          <w:shd w:val="clear" w:color="auto" w:fill="FFFFFF"/>
          <w:lang w:val="en-US" w:eastAsia="zh-CN" w:bidi="ar-SA"/>
        </w:rPr>
      </w:pPr>
      <w:r>
        <w:rPr>
          <w:rFonts w:hint="eastAsia" w:ascii="宋体" w:hAnsi="宋体" w:eastAsia="宋体" w:cs="宋体"/>
          <w:b/>
          <w:bCs/>
          <w:color w:val="auto"/>
          <w:kern w:val="2"/>
          <w:sz w:val="24"/>
          <w:szCs w:val="24"/>
          <w:shd w:val="clear" w:color="auto" w:fill="FFFFFF"/>
          <w:lang w:val="en-US" w:eastAsia="zh-CN" w:bidi="ar-SA"/>
        </w:rPr>
        <w:t>一、项目基本情况</w:t>
      </w:r>
    </w:p>
    <w:p>
      <w:pPr>
        <w:keepNext w:val="0"/>
        <w:keepLines w:val="0"/>
        <w:pageBreakBefore w:val="0"/>
        <w:widowControl/>
        <w:tabs>
          <w:tab w:val="left" w:pos="840"/>
        </w:tabs>
        <w:kinsoku/>
        <w:overflowPunct/>
        <w:topLinePunct w:val="0"/>
        <w:bidi w:val="0"/>
        <w:snapToGrid w:val="0"/>
        <w:spacing w:line="360" w:lineRule="auto"/>
        <w:ind w:firstLine="480" w:firstLineChars="200"/>
        <w:jc w:val="left"/>
        <w:textAlignment w:val="auto"/>
        <w:rPr>
          <w:rFonts w:hint="eastAsia" w:ascii="宋体" w:hAnsi="宋体" w:eastAsia="宋体" w:cs="宋体"/>
          <w:color w:val="auto"/>
          <w:sz w:val="24"/>
          <w:szCs w:val="24"/>
          <w:highlight w:val="yellow"/>
          <w:shd w:val="clear" w:color="auto" w:fill="FFFFFF"/>
          <w:lang w:eastAsia="zh-CN"/>
        </w:rPr>
      </w:pPr>
      <w:r>
        <w:rPr>
          <w:rFonts w:hint="eastAsia" w:ascii="宋体" w:hAnsi="宋体" w:eastAsia="宋体" w:cs="宋体"/>
          <w:color w:val="auto"/>
          <w:sz w:val="24"/>
          <w:szCs w:val="24"/>
          <w:highlight w:val="none"/>
          <w:shd w:val="clear" w:color="auto" w:fill="FFFFFF"/>
        </w:rPr>
        <w:t>1、</w:t>
      </w:r>
      <w:r>
        <w:rPr>
          <w:rFonts w:hint="eastAsia" w:ascii="宋体" w:hAnsi="宋体" w:eastAsia="宋体" w:cs="宋体"/>
          <w:color w:val="auto"/>
          <w:sz w:val="24"/>
          <w:szCs w:val="24"/>
          <w:highlight w:val="none"/>
          <w:shd w:val="clear" w:color="auto" w:fill="FFFFFF"/>
          <w:lang w:val="en-US" w:eastAsia="zh-CN"/>
        </w:rPr>
        <w:t>采购</w:t>
      </w:r>
      <w:r>
        <w:rPr>
          <w:rFonts w:hint="eastAsia" w:ascii="宋体" w:hAnsi="宋体" w:eastAsia="宋体" w:cs="宋体"/>
          <w:color w:val="auto"/>
          <w:sz w:val="24"/>
          <w:szCs w:val="24"/>
          <w:highlight w:val="none"/>
          <w:shd w:val="clear" w:color="auto" w:fill="FFFFFF"/>
        </w:rPr>
        <w:t>项目名称：</w:t>
      </w:r>
      <w:r>
        <w:rPr>
          <w:rFonts w:hint="eastAsia" w:ascii="宋体" w:hAnsi="宋体" w:eastAsia="宋体" w:cs="宋体"/>
          <w:color w:val="auto"/>
          <w:sz w:val="24"/>
          <w:szCs w:val="28"/>
        </w:rPr>
        <w:t>驻马店市中心医院</w:t>
      </w:r>
      <w:r>
        <w:rPr>
          <w:rFonts w:hint="eastAsia" w:ascii="宋体" w:hAnsi="宋体" w:eastAsia="宋体" w:cs="宋体"/>
          <w:color w:val="auto"/>
          <w:sz w:val="24"/>
          <w:szCs w:val="28"/>
          <w:lang w:val="en-US" w:eastAsia="zh-CN"/>
        </w:rPr>
        <w:t>医用输血输液加温器采购项目</w:t>
      </w:r>
      <w:r>
        <w:rPr>
          <w:rFonts w:hint="eastAsia" w:ascii="宋体" w:hAnsi="宋体" w:eastAsia="宋体" w:cs="宋体"/>
          <w:color w:val="auto"/>
          <w:sz w:val="24"/>
          <w:szCs w:val="24"/>
          <w:highlight w:val="none"/>
          <w:shd w:val="clear" w:color="auto" w:fill="FFFFFF"/>
          <w:lang w:eastAsia="zh-CN"/>
        </w:rPr>
        <w:t>；</w:t>
      </w:r>
    </w:p>
    <w:p>
      <w:pPr>
        <w:keepNext w:val="0"/>
        <w:keepLines w:val="0"/>
        <w:pageBreakBefore w:val="0"/>
        <w:widowControl/>
        <w:tabs>
          <w:tab w:val="left" w:pos="840"/>
        </w:tabs>
        <w:kinsoku/>
        <w:overflowPunct/>
        <w:topLinePunct w:val="0"/>
        <w:bidi w:val="0"/>
        <w:snapToGrid w:val="0"/>
        <w:spacing w:line="360" w:lineRule="auto"/>
        <w:ind w:firstLine="480" w:firstLineChars="200"/>
        <w:jc w:val="left"/>
        <w:textAlignment w:val="auto"/>
        <w:rPr>
          <w:rFonts w:hint="eastAsia" w:ascii="宋体" w:hAnsi="宋体" w:eastAsia="宋体" w:cs="宋体"/>
          <w:color w:val="auto"/>
          <w:sz w:val="24"/>
          <w:szCs w:val="24"/>
          <w:highlight w:val="none"/>
          <w:shd w:val="clear" w:color="auto" w:fill="FFFFFF"/>
          <w:lang w:eastAsia="zh-CN"/>
        </w:rPr>
      </w:pPr>
      <w:r>
        <w:rPr>
          <w:rFonts w:hint="eastAsia" w:ascii="宋体" w:hAnsi="宋体" w:eastAsia="宋体" w:cs="宋体"/>
          <w:color w:val="auto"/>
          <w:sz w:val="24"/>
          <w:szCs w:val="24"/>
          <w:highlight w:val="none"/>
          <w:shd w:val="clear" w:color="auto" w:fill="FFFFFF"/>
        </w:rPr>
        <w:t>2、采购需求</w:t>
      </w:r>
      <w:r>
        <w:rPr>
          <w:rFonts w:hint="eastAsia" w:ascii="宋体" w:hAnsi="宋体" w:eastAsia="宋体" w:cs="宋体"/>
          <w:i w:val="0"/>
          <w:caps w:val="0"/>
          <w:color w:val="auto"/>
          <w:spacing w:val="0"/>
          <w:sz w:val="24"/>
          <w:szCs w:val="24"/>
          <w:shd w:val="clear" w:color="auto" w:fill="FFFFFF"/>
          <w:lang w:eastAsia="zh-CN"/>
        </w:rPr>
        <w:t>：</w:t>
      </w:r>
      <w:r>
        <w:rPr>
          <w:rFonts w:hint="eastAsia" w:ascii="宋体" w:hAnsi="宋体" w:eastAsia="宋体" w:cs="宋体"/>
          <w:color w:val="auto"/>
          <w:sz w:val="24"/>
          <w:szCs w:val="24"/>
          <w:highlight w:val="none"/>
          <w:shd w:val="clear" w:color="auto" w:fill="FFFFFF"/>
        </w:rPr>
        <w:t>具体要求详见附件</w:t>
      </w:r>
      <w:r>
        <w:rPr>
          <w:rFonts w:hint="eastAsia" w:ascii="宋体" w:hAnsi="宋体" w:eastAsia="宋体" w:cs="宋体"/>
          <w:color w:val="auto"/>
          <w:sz w:val="24"/>
          <w:szCs w:val="24"/>
          <w:highlight w:val="none"/>
          <w:shd w:val="clear" w:color="auto" w:fill="FFFFFF"/>
          <w:lang w:eastAsia="zh-CN"/>
        </w:rPr>
        <w:t>；</w:t>
      </w:r>
    </w:p>
    <w:p>
      <w:pPr>
        <w:keepNext w:val="0"/>
        <w:keepLines w:val="0"/>
        <w:pageBreakBefore w:val="0"/>
        <w:widowControl/>
        <w:tabs>
          <w:tab w:val="left" w:pos="840"/>
        </w:tabs>
        <w:kinsoku/>
        <w:overflowPunct/>
        <w:topLinePunct w:val="0"/>
        <w:bidi w:val="0"/>
        <w:snapToGrid w:val="0"/>
        <w:spacing w:line="360" w:lineRule="auto"/>
        <w:ind w:firstLine="480" w:firstLineChars="200"/>
        <w:jc w:val="left"/>
        <w:textAlignment w:val="auto"/>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rPr>
        <w:t>3</w:t>
      </w:r>
      <w:bookmarkStart w:id="3" w:name="_Toc26725"/>
      <w:r>
        <w:rPr>
          <w:rFonts w:hint="eastAsia" w:ascii="宋体" w:hAnsi="宋体" w:eastAsia="宋体" w:cs="宋体"/>
          <w:color w:val="auto"/>
          <w:sz w:val="24"/>
          <w:szCs w:val="24"/>
          <w:highlight w:val="none"/>
          <w:shd w:val="clear" w:color="auto" w:fill="FFFFFF"/>
        </w:rPr>
        <w:t>、预算金额：</w:t>
      </w:r>
      <w:r>
        <w:rPr>
          <w:rFonts w:hint="eastAsia" w:ascii="宋体" w:hAnsi="宋体" w:eastAsia="宋体" w:cs="宋体"/>
          <w:color w:val="auto"/>
          <w:kern w:val="0"/>
          <w:sz w:val="24"/>
          <w:szCs w:val="24"/>
          <w:highlight w:val="none"/>
          <w:u w:val="none"/>
          <w:lang w:val="en-US" w:eastAsia="zh-CN"/>
        </w:rPr>
        <w:t>50000.00</w:t>
      </w:r>
      <w:r>
        <w:rPr>
          <w:rFonts w:hint="eastAsia" w:ascii="宋体" w:hAnsi="宋体" w:eastAsia="宋体" w:cs="宋体"/>
          <w:color w:val="auto"/>
          <w:kern w:val="0"/>
          <w:sz w:val="24"/>
          <w:szCs w:val="24"/>
          <w:highlight w:val="none"/>
        </w:rPr>
        <w:t>元</w:t>
      </w:r>
      <w:r>
        <w:rPr>
          <w:rFonts w:hint="eastAsia" w:ascii="宋体" w:hAnsi="宋体" w:eastAsia="宋体" w:cs="宋体"/>
          <w:color w:val="auto"/>
          <w:sz w:val="24"/>
          <w:szCs w:val="24"/>
          <w:highlight w:val="none"/>
          <w:shd w:val="clear" w:color="auto" w:fill="FFFFFF"/>
          <w:lang w:eastAsia="zh-CN"/>
        </w:rPr>
        <w:t>，</w:t>
      </w:r>
      <w:r>
        <w:rPr>
          <w:rFonts w:hint="eastAsia" w:ascii="宋体" w:hAnsi="宋体" w:eastAsia="宋体" w:cs="宋体"/>
          <w:color w:val="auto"/>
          <w:sz w:val="24"/>
          <w:szCs w:val="24"/>
          <w:highlight w:val="none"/>
          <w:shd w:val="clear" w:color="auto" w:fill="FFFFFF"/>
          <w:lang w:val="en-US" w:eastAsia="zh-CN"/>
        </w:rPr>
        <w:t>自筹资金；</w:t>
      </w:r>
    </w:p>
    <w:p>
      <w:pPr>
        <w:keepNext w:val="0"/>
        <w:keepLines w:val="0"/>
        <w:pageBreakBefore w:val="0"/>
        <w:kinsoku/>
        <w:overflowPunct/>
        <w:topLinePunct w:val="0"/>
        <w:bidi w:val="0"/>
        <w:snapToGrid w:val="0"/>
        <w:spacing w:line="360" w:lineRule="auto"/>
        <w:ind w:firstLine="480" w:firstLineChars="200"/>
        <w:textAlignment w:val="auto"/>
        <w:rPr>
          <w:rFonts w:hint="eastAsia" w:ascii="宋体" w:hAnsi="宋体" w:eastAsia="宋体" w:cs="宋体"/>
          <w:color w:val="auto"/>
          <w:sz w:val="24"/>
          <w:szCs w:val="24"/>
          <w:highlight w:val="none"/>
          <w:shd w:val="clear" w:color="auto" w:fill="FFFFFF"/>
          <w:lang w:val="en-US" w:eastAsia="zh-CN"/>
        </w:rPr>
      </w:pPr>
      <w:r>
        <w:rPr>
          <w:rFonts w:hint="eastAsia" w:ascii="宋体" w:hAnsi="宋体" w:eastAsia="宋体" w:cs="宋体"/>
          <w:color w:val="auto"/>
          <w:sz w:val="24"/>
          <w:szCs w:val="24"/>
          <w:highlight w:val="none"/>
          <w:shd w:val="clear" w:color="auto" w:fill="FFFFFF"/>
        </w:rPr>
        <w:t>4、</w:t>
      </w:r>
      <w:r>
        <w:rPr>
          <w:rFonts w:hint="eastAsia" w:ascii="宋体" w:hAnsi="宋体" w:eastAsia="宋体" w:cs="宋体"/>
          <w:color w:val="auto"/>
          <w:sz w:val="24"/>
          <w:szCs w:val="24"/>
          <w:highlight w:val="none"/>
          <w:shd w:val="clear" w:color="auto" w:fill="FFFFFF"/>
          <w:lang w:val="en-US" w:eastAsia="zh-CN"/>
        </w:rPr>
        <w:t>交货地点：采购人指定地点；</w:t>
      </w:r>
    </w:p>
    <w:p>
      <w:pPr>
        <w:keepNext w:val="0"/>
        <w:keepLines w:val="0"/>
        <w:pageBreakBefore w:val="0"/>
        <w:widowControl/>
        <w:tabs>
          <w:tab w:val="left" w:pos="840"/>
        </w:tabs>
        <w:kinsoku/>
        <w:overflowPunct/>
        <w:topLinePunct w:val="0"/>
        <w:bidi w:val="0"/>
        <w:snapToGrid w:val="0"/>
        <w:spacing w:line="360" w:lineRule="auto"/>
        <w:ind w:firstLine="480" w:firstLineChars="200"/>
        <w:jc w:val="left"/>
        <w:textAlignment w:val="auto"/>
        <w:rPr>
          <w:rFonts w:hint="eastAsia" w:ascii="宋体" w:hAnsi="宋体" w:eastAsia="宋体" w:cs="宋体"/>
          <w:color w:val="auto"/>
          <w:sz w:val="24"/>
          <w:szCs w:val="24"/>
          <w:highlight w:val="none"/>
          <w:shd w:val="clear" w:color="auto" w:fill="FFFFFF"/>
        </w:rPr>
      </w:pPr>
      <w:bookmarkStart w:id="4" w:name="_Toc24040"/>
      <w:bookmarkStart w:id="5" w:name="_Toc19521"/>
      <w:bookmarkStart w:id="6" w:name="_Toc21071"/>
      <w:bookmarkStart w:id="7" w:name="_Toc27913"/>
      <w:bookmarkStart w:id="8" w:name="_Toc26079"/>
      <w:r>
        <w:rPr>
          <w:rFonts w:hint="eastAsia" w:ascii="宋体" w:hAnsi="宋体" w:eastAsia="宋体" w:cs="宋体"/>
          <w:color w:val="auto"/>
          <w:sz w:val="24"/>
          <w:szCs w:val="24"/>
          <w:highlight w:val="none"/>
          <w:shd w:val="clear" w:color="auto" w:fill="FFFFFF"/>
        </w:rPr>
        <w:t>5、合同履行期限：以合同约定为准</w:t>
      </w:r>
      <w:r>
        <w:rPr>
          <w:rFonts w:hint="eastAsia" w:ascii="宋体" w:hAnsi="宋体" w:eastAsia="宋体" w:cs="宋体"/>
          <w:color w:val="auto"/>
          <w:sz w:val="24"/>
          <w:szCs w:val="24"/>
          <w:highlight w:val="none"/>
          <w:shd w:val="clear" w:color="auto" w:fill="FFFFFF"/>
          <w:lang w:val="en-US" w:eastAsia="zh-CN"/>
        </w:rPr>
        <w:t>；</w:t>
      </w:r>
    </w:p>
    <w:p>
      <w:pPr>
        <w:keepNext w:val="0"/>
        <w:keepLines w:val="0"/>
        <w:pageBreakBefore w:val="0"/>
        <w:widowControl/>
        <w:tabs>
          <w:tab w:val="left" w:pos="840"/>
        </w:tabs>
        <w:kinsoku/>
        <w:overflowPunct/>
        <w:topLinePunct w:val="0"/>
        <w:bidi w:val="0"/>
        <w:snapToGrid w:val="0"/>
        <w:spacing w:line="360" w:lineRule="auto"/>
        <w:ind w:firstLine="480" w:firstLineChars="200"/>
        <w:jc w:val="left"/>
        <w:textAlignment w:val="auto"/>
        <w:rPr>
          <w:rFonts w:hint="eastAsia" w:ascii="宋体" w:hAnsi="宋体" w:eastAsia="宋体" w:cs="宋体"/>
          <w:color w:val="auto"/>
          <w:sz w:val="24"/>
          <w:szCs w:val="24"/>
          <w:highlight w:val="none"/>
          <w:shd w:val="clear" w:color="auto" w:fill="FFFFFF"/>
        </w:rPr>
      </w:pPr>
      <w:r>
        <w:rPr>
          <w:rFonts w:hint="eastAsia" w:ascii="宋体" w:hAnsi="宋体" w:eastAsia="宋体" w:cs="宋体"/>
          <w:color w:val="auto"/>
          <w:sz w:val="24"/>
          <w:szCs w:val="24"/>
          <w:highlight w:val="none"/>
          <w:shd w:val="clear" w:color="auto" w:fill="FFFFFF"/>
          <w:lang w:val="en-US" w:eastAsia="zh-CN"/>
        </w:rPr>
        <w:t>6</w:t>
      </w:r>
      <w:r>
        <w:rPr>
          <w:rFonts w:hint="eastAsia" w:ascii="宋体" w:hAnsi="宋体" w:eastAsia="宋体" w:cs="宋体"/>
          <w:color w:val="auto"/>
          <w:sz w:val="24"/>
          <w:szCs w:val="24"/>
          <w:highlight w:val="none"/>
          <w:shd w:val="clear" w:color="auto" w:fill="FFFFFF"/>
        </w:rPr>
        <w:t>、</w:t>
      </w:r>
      <w:bookmarkEnd w:id="4"/>
      <w:bookmarkEnd w:id="5"/>
      <w:bookmarkEnd w:id="6"/>
      <w:bookmarkEnd w:id="7"/>
      <w:bookmarkEnd w:id="8"/>
      <w:r>
        <w:rPr>
          <w:rFonts w:hint="eastAsia" w:ascii="宋体" w:hAnsi="宋体" w:eastAsia="宋体" w:cs="宋体"/>
          <w:color w:val="auto"/>
          <w:sz w:val="24"/>
          <w:szCs w:val="24"/>
          <w:highlight w:val="none"/>
          <w:shd w:val="clear" w:color="auto" w:fill="FFFFFF"/>
        </w:rPr>
        <w:t>质量要求：</w:t>
      </w:r>
      <w:r>
        <w:rPr>
          <w:rFonts w:hint="eastAsia" w:ascii="宋体" w:hAnsi="宋体" w:eastAsia="宋体" w:cs="宋体"/>
          <w:color w:val="auto"/>
          <w:sz w:val="24"/>
          <w:szCs w:val="24"/>
          <w:highlight w:val="none"/>
          <w:shd w:val="clear" w:color="auto" w:fill="FFFFFF"/>
          <w:lang w:eastAsia="zh-CN"/>
        </w:rPr>
        <w:t>合格。</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auto"/>
          <w:kern w:val="2"/>
          <w:sz w:val="24"/>
          <w:szCs w:val="24"/>
          <w:shd w:val="clear" w:color="auto" w:fill="FFFFFF"/>
          <w:lang w:val="en-US" w:eastAsia="zh-CN" w:bidi="ar-SA"/>
        </w:rPr>
      </w:pPr>
      <w:bookmarkStart w:id="9" w:name="_Toc27704"/>
      <w:bookmarkStart w:id="10" w:name="_Toc23626"/>
      <w:bookmarkStart w:id="11" w:name="_Toc18607"/>
      <w:bookmarkStart w:id="12" w:name="_Toc16639"/>
      <w:r>
        <w:rPr>
          <w:rFonts w:hint="eastAsia" w:ascii="宋体" w:hAnsi="宋体" w:eastAsia="宋体" w:cs="宋体"/>
          <w:b/>
          <w:bCs/>
          <w:color w:val="auto"/>
          <w:kern w:val="2"/>
          <w:sz w:val="24"/>
          <w:szCs w:val="24"/>
          <w:shd w:val="clear" w:color="auto" w:fill="FFFFFF"/>
          <w:lang w:val="en-US" w:eastAsia="zh-CN" w:bidi="ar-SA"/>
        </w:rPr>
        <w:t>二、</w:t>
      </w:r>
      <w:bookmarkEnd w:id="3"/>
      <w:bookmarkEnd w:id="9"/>
      <w:bookmarkEnd w:id="10"/>
      <w:bookmarkEnd w:id="11"/>
      <w:bookmarkEnd w:id="12"/>
      <w:r>
        <w:rPr>
          <w:rFonts w:hint="eastAsia" w:ascii="宋体" w:hAnsi="宋体" w:eastAsia="宋体" w:cs="宋体"/>
          <w:b/>
          <w:bCs/>
          <w:color w:val="auto"/>
          <w:kern w:val="2"/>
          <w:sz w:val="24"/>
          <w:szCs w:val="24"/>
          <w:shd w:val="clear" w:color="auto" w:fill="FFFFFF"/>
          <w:lang w:val="en-US" w:eastAsia="zh-CN" w:bidi="ar-SA"/>
        </w:rPr>
        <w:t>供应商资格要求：</w:t>
      </w:r>
    </w:p>
    <w:p>
      <w:pPr>
        <w:keepNext w:val="0"/>
        <w:keepLines w:val="0"/>
        <w:pageBreakBefore w:val="0"/>
        <w:widowControl w:val="0"/>
        <w:kinsoku/>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val="0"/>
        <w:kinsoku/>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2、供应商应提供2021年度或2022年度经审计的财务报告或者其基本开户银行出具的资信证明；采购活动前近三个月内或上个季度的依法缴纳税收的凭据和缴纳社会保险的凭据；依法免税或不需要缴纳社会保障资金的供应商，应提供相应文件证明其依法免税或不需要缴纳社会保障资金。（新成立企业从成立之日起计算）。</w:t>
      </w:r>
    </w:p>
    <w:p>
      <w:pPr>
        <w:keepNext w:val="0"/>
        <w:keepLines w:val="0"/>
        <w:pageBreakBefore w:val="0"/>
        <w:widowControl w:val="0"/>
        <w:kinsoku/>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3、具有履行合同所必需的设备和专业技术能力（提供书面声明函）。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4、参加本采购活动前三年内，在经营活动中没有重大违法记录（提供书面声明函）。</w:t>
      </w:r>
    </w:p>
    <w:p>
      <w:pPr>
        <w:keepNext w:val="0"/>
        <w:keepLines w:val="0"/>
        <w:pageBreakBefore w:val="0"/>
        <w:widowControl w:val="0"/>
        <w:kinsoku/>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5、符合法律、行政法规规定的其他条件。</w:t>
      </w:r>
    </w:p>
    <w:p>
      <w:pPr>
        <w:keepNext w:val="0"/>
        <w:keepLines w:val="0"/>
        <w:pageBreakBefore w:val="0"/>
        <w:widowControl w:val="0"/>
        <w:kinsoku/>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6、供应商是生产厂家的须具有《医疗器械生产许可证》；供应商是代理商的须具有《医疗器械经营许可证》或《医疗器械经营备案凭证》。</w:t>
      </w:r>
    </w:p>
    <w:p>
      <w:pPr>
        <w:keepNext w:val="0"/>
        <w:keepLines w:val="0"/>
        <w:pageBreakBefore w:val="0"/>
        <w:widowControl w:val="0"/>
        <w:kinsoku/>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sz w:val="24"/>
          <w:szCs w:val="28"/>
          <w:lang w:val="en-US" w:eastAsia="zh-CN"/>
        </w:rPr>
      </w:pPr>
      <w:r>
        <w:rPr>
          <w:rFonts w:hint="eastAsia" w:ascii="宋体" w:hAnsi="宋体" w:eastAsia="宋体" w:cs="宋体"/>
          <w:color w:val="auto"/>
          <w:kern w:val="2"/>
          <w:sz w:val="24"/>
          <w:szCs w:val="32"/>
          <w:highlight w:val="none"/>
          <w:lang w:val="en-US" w:eastAsia="zh-CN" w:bidi="ar-SA"/>
        </w:rPr>
        <w:t>7</w:t>
      </w:r>
      <w:r>
        <w:rPr>
          <w:rFonts w:hint="eastAsia" w:ascii="宋体" w:hAnsi="宋体" w:eastAsia="宋体" w:cs="宋体"/>
          <w:color w:val="auto"/>
          <w:sz w:val="24"/>
          <w:szCs w:val="28"/>
          <w:highlight w:val="none"/>
          <w:lang w:val="en-US" w:eastAsia="zh-CN"/>
        </w:rPr>
        <w:t>、</w:t>
      </w:r>
      <w:r>
        <w:rPr>
          <w:rFonts w:hint="eastAsia" w:ascii="宋体" w:hAnsi="宋体" w:eastAsia="宋体" w:cs="宋体"/>
          <w:color w:val="auto"/>
          <w:sz w:val="24"/>
          <w:szCs w:val="28"/>
          <w:lang w:val="en-US" w:eastAsia="zh-CN"/>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val="0"/>
        <w:kinsoku/>
        <w:overflowPunct/>
        <w:topLinePunct w:val="0"/>
        <w:autoSpaceDE w:val="0"/>
        <w:autoSpaceDN w:val="0"/>
        <w:bidi w:val="0"/>
        <w:adjustRightInd w:val="0"/>
        <w:snapToGrid w:val="0"/>
        <w:spacing w:line="360" w:lineRule="auto"/>
        <w:ind w:firstLine="480" w:firstLineChars="200"/>
        <w:textAlignment w:val="auto"/>
        <w:rPr>
          <w:rFonts w:hint="eastAsia" w:ascii="宋体" w:hAnsi="宋体" w:eastAsia="宋体" w:cs="宋体"/>
          <w:color w:val="auto"/>
          <w:kern w:val="2"/>
          <w:sz w:val="24"/>
          <w:szCs w:val="32"/>
          <w:lang w:val="en-US" w:eastAsia="zh-CN" w:bidi="ar-SA"/>
        </w:rPr>
      </w:pPr>
      <w:r>
        <w:rPr>
          <w:rFonts w:hint="eastAsia" w:ascii="宋体" w:hAnsi="宋体" w:eastAsia="宋体" w:cs="宋体"/>
          <w:color w:val="auto"/>
          <w:kern w:val="2"/>
          <w:sz w:val="24"/>
          <w:szCs w:val="32"/>
          <w:lang w:val="en-US" w:eastAsia="zh-CN" w:bidi="ar-SA"/>
        </w:rPr>
        <w:t>8、不接受联合体投标。</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auto"/>
          <w:kern w:val="2"/>
          <w:sz w:val="24"/>
          <w:szCs w:val="32"/>
          <w:lang w:val="en-US" w:eastAsia="zh-CN" w:bidi="ar-SA"/>
        </w:rPr>
      </w:pPr>
      <w:bookmarkStart w:id="13" w:name="_Toc30643"/>
      <w:bookmarkStart w:id="14" w:name="_Toc7823"/>
      <w:bookmarkStart w:id="15" w:name="_Toc23395"/>
      <w:bookmarkStart w:id="16" w:name="_Toc30971"/>
      <w:bookmarkStart w:id="17" w:name="_Toc9562"/>
      <w:r>
        <w:rPr>
          <w:rFonts w:hint="eastAsia" w:ascii="宋体" w:hAnsi="宋体" w:eastAsia="宋体" w:cs="宋体"/>
          <w:b/>
          <w:bCs/>
          <w:color w:val="auto"/>
          <w:kern w:val="2"/>
          <w:sz w:val="24"/>
          <w:szCs w:val="32"/>
          <w:lang w:val="en-US" w:eastAsia="zh-CN" w:bidi="ar-SA"/>
        </w:rPr>
        <w:t>三、获取采购文件</w:t>
      </w:r>
      <w:bookmarkEnd w:id="13"/>
      <w:bookmarkEnd w:id="14"/>
      <w:bookmarkEnd w:id="15"/>
      <w:bookmarkEnd w:id="16"/>
      <w:bookmarkEnd w:id="17"/>
    </w:p>
    <w:p>
      <w:pPr>
        <w:keepNext w:val="0"/>
        <w:keepLines w:val="0"/>
        <w:pageBreakBefore w:val="0"/>
        <w:widowControl/>
        <w:kinsoku/>
        <w:overflowPunct/>
        <w:topLinePunct w:val="0"/>
        <w:bidi w:val="0"/>
        <w:adjustRightInd w:val="0"/>
        <w:snapToGrid w:val="0"/>
        <w:spacing w:line="360" w:lineRule="auto"/>
        <w:ind w:firstLine="480" w:firstLineChars="200"/>
        <w:jc w:val="left"/>
        <w:textAlignment w:val="auto"/>
        <w:rPr>
          <w:rFonts w:hint="eastAsia" w:ascii="宋体" w:hAnsi="宋体" w:eastAsia="宋体" w:cs="宋体"/>
          <w:color w:val="000000" w:themeColor="text1"/>
          <w:sz w:val="24"/>
          <w:szCs w:val="24"/>
          <w:shd w:val="clear" w:color="auto" w:fill="FFFFFF"/>
          <w14:textFill>
            <w14:solidFill>
              <w14:schemeClr w14:val="tx1"/>
            </w14:solidFill>
          </w14:textFill>
        </w:rPr>
      </w:pPr>
      <w:r>
        <w:rPr>
          <w:rFonts w:hint="eastAsia" w:ascii="宋体" w:hAnsi="宋体" w:eastAsia="宋体" w:cs="宋体"/>
          <w:color w:val="auto"/>
          <w:sz w:val="24"/>
          <w:szCs w:val="24"/>
          <w:shd w:val="clear" w:color="auto" w:fill="FFFFFF"/>
        </w:rPr>
        <w:t>1</w:t>
      </w:r>
      <w:r>
        <w:rPr>
          <w:rFonts w:hint="eastAsia" w:ascii="宋体" w:hAnsi="宋体" w:eastAsia="宋体" w:cs="宋体"/>
          <w:color w:val="auto"/>
          <w:sz w:val="24"/>
          <w:szCs w:val="24"/>
          <w:shd w:val="clear" w:color="auto" w:fill="FFFFFF"/>
          <w:lang w:val="en-US" w:eastAsia="zh-CN"/>
        </w:rPr>
        <w:t>报</w:t>
      </w:r>
      <w:r>
        <w:rPr>
          <w:rFonts w:hint="eastAsia" w:ascii="宋体" w:hAnsi="宋体" w:eastAsia="宋体" w:cs="宋体"/>
          <w:color w:val="000000" w:themeColor="text1"/>
          <w:sz w:val="24"/>
          <w:szCs w:val="24"/>
          <w:shd w:val="clear" w:color="auto" w:fill="FFFFFF"/>
          <w:lang w:val="en-US" w:eastAsia="zh-CN"/>
          <w14:textFill>
            <w14:solidFill>
              <w14:schemeClr w14:val="tx1"/>
            </w14:solidFill>
          </w14:textFill>
        </w:rPr>
        <w:t>名</w:t>
      </w:r>
      <w:r>
        <w:rPr>
          <w:rFonts w:hint="eastAsia" w:ascii="宋体" w:hAnsi="宋体" w:eastAsia="宋体" w:cs="宋体"/>
          <w:color w:val="000000" w:themeColor="text1"/>
          <w:sz w:val="24"/>
          <w:szCs w:val="24"/>
          <w:shd w:val="clear" w:color="auto" w:fill="FFFFFF"/>
          <w14:textFill>
            <w14:solidFill>
              <w14:schemeClr w14:val="tx1"/>
            </w14:solidFill>
          </w14:textFill>
        </w:rPr>
        <w:t>时间：</w:t>
      </w:r>
      <w:r>
        <w:rPr>
          <w:rFonts w:hint="eastAsia" w:ascii="宋体" w:hAnsi="宋体" w:eastAsia="宋体" w:cs="宋体"/>
          <w:color w:val="FF0000"/>
          <w:sz w:val="24"/>
          <w:szCs w:val="24"/>
          <w:highlight w:val="none"/>
          <w:shd w:val="clear" w:color="auto" w:fill="FFFFFF"/>
        </w:rPr>
        <w:t>202</w:t>
      </w:r>
      <w:r>
        <w:rPr>
          <w:rFonts w:hint="eastAsia" w:ascii="宋体" w:hAnsi="宋体" w:eastAsia="宋体" w:cs="宋体"/>
          <w:color w:val="FF0000"/>
          <w:sz w:val="24"/>
          <w:szCs w:val="24"/>
          <w:highlight w:val="none"/>
          <w:shd w:val="clear" w:color="auto" w:fill="FFFFFF"/>
          <w:lang w:val="en-US" w:eastAsia="zh-CN"/>
        </w:rPr>
        <w:t>3</w:t>
      </w:r>
      <w:r>
        <w:rPr>
          <w:rFonts w:hint="eastAsia" w:ascii="宋体" w:hAnsi="宋体" w:eastAsia="宋体" w:cs="宋体"/>
          <w:color w:val="FF0000"/>
          <w:sz w:val="24"/>
          <w:szCs w:val="24"/>
          <w:highlight w:val="none"/>
          <w:shd w:val="clear" w:color="auto" w:fill="FFFFFF"/>
        </w:rPr>
        <w:t>年</w:t>
      </w:r>
      <w:r>
        <w:rPr>
          <w:rFonts w:hint="eastAsia" w:ascii="宋体" w:hAnsi="宋体" w:eastAsia="宋体" w:cs="宋体"/>
          <w:color w:val="FF0000"/>
          <w:sz w:val="24"/>
          <w:szCs w:val="24"/>
          <w:highlight w:val="none"/>
          <w:shd w:val="clear" w:color="auto" w:fill="FFFFFF"/>
          <w:lang w:val="en-US" w:eastAsia="zh-CN"/>
        </w:rPr>
        <w:t>03</w:t>
      </w:r>
      <w:r>
        <w:rPr>
          <w:rFonts w:hint="eastAsia" w:ascii="宋体" w:hAnsi="宋体" w:eastAsia="宋体" w:cs="宋体"/>
          <w:color w:val="FF0000"/>
          <w:sz w:val="24"/>
          <w:szCs w:val="24"/>
          <w:highlight w:val="none"/>
          <w:shd w:val="clear" w:color="auto" w:fill="FFFFFF"/>
        </w:rPr>
        <w:t>月</w:t>
      </w:r>
      <w:r>
        <w:rPr>
          <w:rFonts w:hint="eastAsia" w:ascii="宋体" w:hAnsi="宋体" w:cs="宋体"/>
          <w:color w:val="FF0000"/>
          <w:sz w:val="24"/>
          <w:szCs w:val="24"/>
          <w:highlight w:val="none"/>
          <w:shd w:val="clear" w:color="auto" w:fill="FFFFFF"/>
          <w:lang w:val="en-US" w:eastAsia="zh-CN"/>
        </w:rPr>
        <w:t>20</w:t>
      </w:r>
      <w:r>
        <w:rPr>
          <w:rFonts w:hint="eastAsia" w:ascii="宋体" w:hAnsi="宋体" w:eastAsia="宋体" w:cs="宋体"/>
          <w:color w:val="FF0000"/>
          <w:sz w:val="24"/>
          <w:szCs w:val="24"/>
          <w:highlight w:val="none"/>
          <w:shd w:val="clear" w:color="auto" w:fill="FFFFFF"/>
        </w:rPr>
        <w:t>日-202</w:t>
      </w:r>
      <w:r>
        <w:rPr>
          <w:rFonts w:hint="eastAsia" w:ascii="宋体" w:hAnsi="宋体" w:eastAsia="宋体" w:cs="宋体"/>
          <w:color w:val="FF0000"/>
          <w:sz w:val="24"/>
          <w:szCs w:val="24"/>
          <w:highlight w:val="none"/>
          <w:shd w:val="clear" w:color="auto" w:fill="FFFFFF"/>
          <w:lang w:val="en-US" w:eastAsia="zh-CN"/>
        </w:rPr>
        <w:t>3</w:t>
      </w:r>
      <w:r>
        <w:rPr>
          <w:rFonts w:hint="eastAsia" w:ascii="宋体" w:hAnsi="宋体" w:eastAsia="宋体" w:cs="宋体"/>
          <w:color w:val="FF0000"/>
          <w:sz w:val="24"/>
          <w:szCs w:val="24"/>
          <w:highlight w:val="none"/>
          <w:shd w:val="clear" w:color="auto" w:fill="FFFFFF"/>
        </w:rPr>
        <w:t>年</w:t>
      </w:r>
      <w:r>
        <w:rPr>
          <w:rFonts w:hint="eastAsia" w:ascii="宋体" w:hAnsi="宋体" w:eastAsia="宋体" w:cs="宋体"/>
          <w:color w:val="FF0000"/>
          <w:sz w:val="24"/>
          <w:szCs w:val="24"/>
          <w:highlight w:val="none"/>
          <w:shd w:val="clear" w:color="auto" w:fill="FFFFFF"/>
          <w:lang w:val="en-US" w:eastAsia="zh-CN"/>
        </w:rPr>
        <w:t>03</w:t>
      </w:r>
      <w:r>
        <w:rPr>
          <w:rFonts w:hint="eastAsia" w:ascii="宋体" w:hAnsi="宋体" w:eastAsia="宋体" w:cs="宋体"/>
          <w:color w:val="FF0000"/>
          <w:sz w:val="24"/>
          <w:szCs w:val="24"/>
          <w:highlight w:val="none"/>
          <w:shd w:val="clear" w:color="auto" w:fill="FFFFFF"/>
        </w:rPr>
        <w:t>月</w:t>
      </w:r>
      <w:r>
        <w:rPr>
          <w:rFonts w:hint="eastAsia" w:ascii="宋体" w:hAnsi="宋体" w:cs="宋体"/>
          <w:color w:val="FF0000"/>
          <w:sz w:val="24"/>
          <w:szCs w:val="24"/>
          <w:highlight w:val="none"/>
          <w:shd w:val="clear" w:color="auto" w:fill="FFFFFF"/>
          <w:lang w:val="en-US" w:eastAsia="zh-CN"/>
        </w:rPr>
        <w:t>22</w:t>
      </w:r>
      <w:r>
        <w:rPr>
          <w:rFonts w:hint="eastAsia" w:ascii="宋体" w:hAnsi="宋体" w:eastAsia="宋体" w:cs="宋体"/>
          <w:color w:val="FF0000"/>
          <w:sz w:val="24"/>
          <w:szCs w:val="24"/>
          <w:highlight w:val="none"/>
          <w:shd w:val="clear" w:color="auto" w:fill="FFFFFF"/>
        </w:rPr>
        <w:t>日，上</w:t>
      </w:r>
      <w:r>
        <w:rPr>
          <w:rFonts w:hint="eastAsia" w:ascii="宋体" w:hAnsi="宋体" w:eastAsia="宋体" w:cs="宋体"/>
          <w:color w:val="FF0000"/>
          <w:sz w:val="24"/>
          <w:szCs w:val="24"/>
          <w:shd w:val="clear" w:color="auto" w:fill="FFFFFF"/>
        </w:rPr>
        <w:t>午8：30-11:30，下午14:30-17:30</w:t>
      </w:r>
      <w:r>
        <w:rPr>
          <w:rFonts w:hint="eastAsia" w:ascii="宋体" w:hAnsi="宋体" w:eastAsia="宋体" w:cs="宋体"/>
          <w:color w:val="000000" w:themeColor="text1"/>
          <w:sz w:val="24"/>
          <w:szCs w:val="24"/>
          <w:shd w:val="clear" w:color="auto" w:fill="FFFFFF"/>
          <w14:textFill>
            <w14:solidFill>
              <w14:schemeClr w14:val="tx1"/>
            </w14:solidFill>
          </w14:textFill>
        </w:rPr>
        <w:t>（北京时间，法定节假日除外）</w:t>
      </w:r>
      <w:r>
        <w:rPr>
          <w:rFonts w:hint="eastAsia" w:ascii="宋体" w:hAnsi="宋体" w:eastAsia="宋体" w:cs="宋体"/>
          <w:color w:val="000000" w:themeColor="text1"/>
          <w:sz w:val="24"/>
          <w:szCs w:val="24"/>
          <w:shd w:val="clear" w:color="auto" w:fill="FFFFFF"/>
          <w:lang w:eastAsia="zh-CN"/>
          <w14:textFill>
            <w14:solidFill>
              <w14:schemeClr w14:val="tx1"/>
            </w14:solidFill>
          </w14:textFill>
        </w:rPr>
        <w:t>，</w:t>
      </w:r>
      <w:r>
        <w:rPr>
          <w:rFonts w:hint="eastAsia" w:ascii="宋体" w:hAnsi="宋体" w:eastAsia="宋体" w:cs="宋体"/>
          <w:color w:val="000000" w:themeColor="text1"/>
          <w:sz w:val="24"/>
          <w:szCs w:val="24"/>
          <w:shd w:val="clear" w:color="auto" w:fill="FFFFFF"/>
          <w:lang w:val="en-US" w:eastAsia="zh-CN"/>
          <w14:textFill>
            <w14:solidFill>
              <w14:schemeClr w14:val="tx1"/>
            </w14:solidFill>
          </w14:textFill>
        </w:rPr>
        <w:t>报名费用：100元。</w:t>
      </w: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 xml:space="preserve">2.凡报名成功的供应商无故不来参与投标的列入我院黑名单，一年内不得参与我院任何采购活动。中标供应商缴纳相应服务费。 </w:t>
      </w:r>
    </w:p>
    <w:p>
      <w:pPr>
        <w:keepNext w:val="0"/>
        <w:keepLines w:val="0"/>
        <w:pageBreakBefore w:val="0"/>
        <w:widowControl/>
        <w:kinsoku/>
        <w:wordWrap w:val="0"/>
        <w:overflowPunct/>
        <w:topLinePunct w:val="0"/>
        <w:bidi w:val="0"/>
        <w:snapToGrid w:val="0"/>
        <w:spacing w:before="0" w:beforeAutospacing="0" w:after="0" w:afterAutospacing="0" w:line="360" w:lineRule="auto"/>
        <w:ind w:left="0" w:leftChars="0" w:firstLine="480" w:firstLineChars="200"/>
        <w:jc w:val="left"/>
        <w:textAlignment w:val="auto"/>
        <w:rPr>
          <w:rFonts w:hint="eastAsia" w:ascii="宋体" w:hAnsi="宋体" w:eastAsia="宋体" w:cs="宋体"/>
          <w:color w:val="000000" w:themeColor="text1"/>
          <w:kern w:val="0"/>
          <w:sz w:val="24"/>
          <w:szCs w:val="24"/>
          <w:u w:val="single"/>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3.采购文件获取方式：供应商须把填写完整的报名登记表及报名登记表要求提供的相关资料扫描件按序排版为PDF格式文件，发送至以下邮箱：</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fldChar w:fldCharType="begin"/>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instrText xml:space="preserve"> HYPERLINK "mailto:hnwxzb2@163.com并标明XX" </w:instrTex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fldChar w:fldCharType="separate"/>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1150105437@qq.com</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并标明XX</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fldChar w:fldCharType="end"/>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项目报名资料；审核通过后按要求交纳报名费。</w:t>
      </w:r>
    </w:p>
    <w:p>
      <w:pPr>
        <w:keepNext w:val="0"/>
        <w:keepLines w:val="0"/>
        <w:pageBreakBefore w:val="0"/>
        <w:widowControl/>
        <w:kinsoku/>
        <w:wordWrap w:val="0"/>
        <w:overflowPunct/>
        <w:topLinePunct w:val="0"/>
        <w:bidi w:val="0"/>
        <w:snapToGrid w:val="0"/>
        <w:spacing w:before="0" w:beforeAutospacing="0" w:after="0" w:afterAutospacing="0" w:line="360" w:lineRule="auto"/>
        <w:ind w:left="420" w:leftChars="200"/>
        <w:jc w:val="left"/>
        <w:textAlignment w:val="auto"/>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4.报名登记表：请从附件中下载。</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000000" w:themeColor="text1"/>
          <w:kern w:val="2"/>
          <w:sz w:val="24"/>
          <w:szCs w:val="24"/>
          <w:lang w:val="en-US" w:eastAsia="zh-CN" w:bidi="ar-SA"/>
          <w14:textFill>
            <w14:solidFill>
              <w14:schemeClr w14:val="tx1"/>
            </w14:solidFill>
          </w14:textFill>
        </w:rPr>
      </w:pPr>
      <w:bookmarkStart w:id="18" w:name="_Toc10738"/>
      <w:bookmarkStart w:id="19" w:name="_Toc25869"/>
      <w:bookmarkStart w:id="20" w:name="_Toc27480"/>
      <w:bookmarkStart w:id="21" w:name="_Toc15135"/>
      <w:bookmarkStart w:id="22" w:name="_Toc15111"/>
      <w:r>
        <w:rPr>
          <w:rFonts w:hint="eastAsia" w:ascii="宋体" w:hAnsi="宋体" w:eastAsia="宋体" w:cs="宋体"/>
          <w:b/>
          <w:bCs/>
          <w:color w:val="000000" w:themeColor="text1"/>
          <w:kern w:val="2"/>
          <w:sz w:val="24"/>
          <w:szCs w:val="24"/>
          <w:shd w:val="clear" w:color="auto" w:fill="FFFFFF"/>
          <w:lang w:val="en-US" w:eastAsia="zh-CN" w:bidi="ar-SA"/>
          <w14:textFill>
            <w14:solidFill>
              <w14:schemeClr w14:val="tx1"/>
            </w14:solidFill>
          </w14:textFill>
        </w:rPr>
        <w:t>四、投标截止时间及地点</w:t>
      </w:r>
      <w:bookmarkEnd w:id="18"/>
      <w:bookmarkEnd w:id="19"/>
      <w:bookmarkEnd w:id="20"/>
      <w:bookmarkEnd w:id="21"/>
      <w:bookmarkEnd w:id="22"/>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1.时间：</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2.地点：</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shd w:val="clear" w:color="auto" w:fill="FFFFFF"/>
          <w:lang w:val="en-US" w:eastAsia="zh-CN" w:bidi="ar-SA"/>
          <w14:textFill>
            <w14:solidFill>
              <w14:schemeClr w14:val="tx1"/>
            </w14:solidFill>
          </w14:textFill>
        </w:rPr>
        <w:t>五、开标时间及地点</w:t>
      </w: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1.时间：</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2.地点：</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另行通知</w:t>
      </w:r>
      <w:r>
        <w:rPr>
          <w:rFonts w:hint="eastAsia" w:ascii="宋体" w:hAnsi="宋体" w:eastAsia="宋体" w:cs="宋体"/>
          <w:color w:val="000000" w:themeColor="text1"/>
          <w:kern w:val="0"/>
          <w:sz w:val="24"/>
          <w:szCs w:val="24"/>
          <w:u w:val="none"/>
          <w:shd w:val="clear" w:color="auto" w:fill="FFFFFF"/>
          <w:lang w:val="en-US" w:eastAsia="zh-CN" w:bidi="ar-SA"/>
          <w14:textFill>
            <w14:solidFill>
              <w14:schemeClr w14:val="tx1"/>
            </w14:solidFill>
          </w14:textFill>
        </w:rPr>
        <w:t>。</w:t>
      </w:r>
    </w:p>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000000" w:themeColor="text1"/>
          <w:kern w:val="2"/>
          <w:sz w:val="24"/>
          <w:szCs w:val="24"/>
          <w:lang w:val="en-US" w:eastAsia="zh-CN" w:bidi="ar-SA"/>
          <w14:textFill>
            <w14:solidFill>
              <w14:schemeClr w14:val="tx1"/>
            </w14:solidFill>
          </w14:textFill>
        </w:rPr>
      </w:pPr>
      <w:bookmarkStart w:id="23" w:name="_Toc20287"/>
      <w:bookmarkStart w:id="24" w:name="_Toc30918"/>
      <w:bookmarkStart w:id="25" w:name="_Toc6523"/>
      <w:bookmarkStart w:id="26" w:name="_Toc29784"/>
      <w:r>
        <w:rPr>
          <w:rFonts w:hint="eastAsia" w:ascii="宋体" w:hAnsi="宋体" w:eastAsia="宋体" w:cs="宋体"/>
          <w:b/>
          <w:bCs/>
          <w:color w:val="000000" w:themeColor="text1"/>
          <w:kern w:val="2"/>
          <w:sz w:val="24"/>
          <w:szCs w:val="24"/>
          <w:shd w:val="clear" w:color="auto" w:fill="FFFFFF"/>
          <w:lang w:val="en-US" w:eastAsia="zh-CN" w:bidi="ar-SA"/>
          <w14:textFill>
            <w14:solidFill>
              <w14:schemeClr w14:val="tx1"/>
            </w14:solidFill>
          </w14:textFill>
        </w:rPr>
        <w:t>六、发布公告的媒介及</w:t>
      </w:r>
      <w:r>
        <w:rPr>
          <w:rFonts w:hint="eastAsia" w:ascii="宋体" w:hAnsi="宋体" w:eastAsia="宋体" w:cs="宋体"/>
          <w:b/>
          <w:bCs/>
          <w:color w:val="000000" w:themeColor="text1"/>
          <w:sz w:val="24"/>
          <w:szCs w:val="24"/>
          <w:shd w:val="clear" w:color="auto" w:fill="auto"/>
          <w:lang w:val="en-US" w:eastAsia="zh-CN"/>
          <w14:textFill>
            <w14:solidFill>
              <w14:schemeClr w14:val="tx1"/>
            </w14:solidFill>
          </w14:textFill>
        </w:rPr>
        <w:t>采购</w:t>
      </w:r>
      <w:r>
        <w:rPr>
          <w:rFonts w:hint="eastAsia" w:ascii="宋体" w:hAnsi="宋体" w:eastAsia="宋体" w:cs="宋体"/>
          <w:b/>
          <w:bCs/>
          <w:color w:val="000000" w:themeColor="text1"/>
          <w:kern w:val="2"/>
          <w:sz w:val="24"/>
          <w:szCs w:val="24"/>
          <w:shd w:val="clear" w:color="auto" w:fill="FFFFFF"/>
          <w:lang w:val="en-US" w:eastAsia="zh-CN" w:bidi="ar-SA"/>
          <w14:textFill>
            <w14:solidFill>
              <w14:schemeClr w14:val="tx1"/>
            </w14:solidFill>
          </w14:textFill>
        </w:rPr>
        <w:t>公告期限</w:t>
      </w:r>
      <w:bookmarkEnd w:id="23"/>
      <w:bookmarkEnd w:id="24"/>
      <w:bookmarkEnd w:id="25"/>
      <w:bookmarkEnd w:id="26"/>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本次</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采购</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公告在《驻马店市中心医院》院内网</w:t>
      </w:r>
      <w:r>
        <w:rPr>
          <w:rFonts w:hint="eastAsia" w:ascii="宋体" w:hAnsi="宋体" w:eastAsia="宋体" w:cs="宋体"/>
          <w:color w:val="000000" w:themeColor="text1"/>
          <w:sz w:val="24"/>
          <w:szCs w:val="24"/>
          <w:shd w:val="clear" w:color="auto" w:fill="auto"/>
          <w14:textFill>
            <w14:solidFill>
              <w14:schemeClr w14:val="tx1"/>
            </w14:solidFill>
          </w14:textFill>
        </w:rPr>
        <w:t>上发布</w:t>
      </w:r>
      <w:r>
        <w:rPr>
          <w:rFonts w:hint="eastAsia" w:ascii="宋体" w:hAnsi="宋体" w:eastAsia="宋体" w:cs="宋体"/>
          <w:color w:val="000000" w:themeColor="text1"/>
          <w:sz w:val="24"/>
          <w:szCs w:val="24"/>
          <w:highlight w:val="none"/>
          <w:shd w:val="clear" w:color="auto" w:fill="auto"/>
          <w:lang w:eastAsia="zh-CN"/>
          <w14:textFill>
            <w14:solidFill>
              <w14:schemeClr w14:val="tx1"/>
            </w14:solidFill>
          </w14:textFill>
        </w:rPr>
        <w:t>，</w:t>
      </w:r>
      <w:r>
        <w:rPr>
          <w:rFonts w:hint="eastAsia" w:ascii="宋体" w:hAnsi="宋体" w:eastAsia="宋体" w:cs="宋体"/>
          <w:color w:val="000000" w:themeColor="text1"/>
          <w:sz w:val="24"/>
          <w:szCs w:val="24"/>
          <w:shd w:val="clear" w:color="auto" w:fill="auto"/>
          <w:lang w:val="en-US" w:eastAsia="zh-CN"/>
          <w14:textFill>
            <w14:solidFill>
              <w14:schemeClr w14:val="tx1"/>
            </w14:solidFill>
          </w14:textFill>
        </w:rPr>
        <w:t>采购</w:t>
      </w:r>
      <w:r>
        <w:rPr>
          <w:rFonts w:hint="eastAsia" w:ascii="宋体" w:hAnsi="宋体" w:eastAsia="宋体" w:cs="宋体"/>
          <w:color w:val="000000" w:themeColor="text1"/>
          <w:sz w:val="24"/>
          <w:szCs w:val="24"/>
          <w:highlight w:val="none"/>
          <w:shd w:val="clear" w:color="auto" w:fill="auto"/>
          <w:lang w:eastAsia="zh-CN"/>
          <w14:textFill>
            <w14:solidFill>
              <w14:schemeClr w14:val="tx1"/>
            </w14:solidFill>
          </w14:textFill>
        </w:rPr>
        <w:t>公告期限为</w:t>
      </w: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shd w:val="clear" w:color="auto" w:fill="auto"/>
          <w:lang w:eastAsia="zh-CN"/>
          <w14:textFill>
            <w14:solidFill>
              <w14:schemeClr w14:val="tx1"/>
            </w14:solidFill>
          </w14:textFill>
        </w:rPr>
        <w:t>个工作日</w:t>
      </w:r>
      <w:r>
        <w:rPr>
          <w:rFonts w:hint="eastAsia" w:ascii="宋体" w:hAnsi="宋体" w:eastAsia="宋体" w:cs="宋体"/>
          <w:color w:val="000000" w:themeColor="text1"/>
          <w:kern w:val="0"/>
          <w:sz w:val="24"/>
          <w:szCs w:val="24"/>
          <w:highlight w:val="none"/>
          <w:shd w:val="clear" w:color="auto" w:fill="FFFFFF"/>
          <w:lang w:val="en-US" w:eastAsia="zh-CN" w:bidi="ar-SA"/>
          <w14:textFill>
            <w14:solidFill>
              <w14:schemeClr w14:val="tx1"/>
            </w14:solidFill>
          </w14:textFill>
        </w:rPr>
        <w:t>。</w:t>
      </w:r>
      <w:bookmarkStart w:id="27" w:name="_Toc35393626"/>
      <w:bookmarkStart w:id="28" w:name="_Toc35393795"/>
    </w:p>
    <w:bookmarkEnd w:id="27"/>
    <w:bookmarkEnd w:id="28"/>
    <w:p>
      <w:pPr>
        <w:keepNext w:val="0"/>
        <w:keepLines w:val="0"/>
        <w:pageBreakBefore w:val="0"/>
        <w:widowControl/>
        <w:kinsoku/>
        <w:overflowPunct/>
        <w:topLinePunct w:val="0"/>
        <w:bidi w:val="0"/>
        <w:snapToGrid w:val="0"/>
        <w:spacing w:before="0" w:after="0" w:line="360" w:lineRule="auto"/>
        <w:jc w:val="left"/>
        <w:textAlignment w:val="auto"/>
        <w:outlineLvl w:val="1"/>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bookmarkStart w:id="29" w:name="_Toc16291"/>
      <w:bookmarkStart w:id="30" w:name="_Toc31928"/>
      <w:bookmarkStart w:id="31" w:name="_Toc27370"/>
      <w:bookmarkStart w:id="32" w:name="_Toc3604"/>
      <w:bookmarkStart w:id="33" w:name="_Toc24274"/>
      <w:r>
        <w:rPr>
          <w:rFonts w:hint="eastAsia" w:ascii="宋体" w:hAnsi="宋体" w:eastAsia="宋体" w:cs="宋体"/>
          <w:b/>
          <w:bCs/>
          <w:color w:val="000000" w:themeColor="text1"/>
          <w:kern w:val="2"/>
          <w:sz w:val="24"/>
          <w:szCs w:val="24"/>
          <w:shd w:val="clear" w:color="auto" w:fill="FFFFFF"/>
          <w:lang w:val="en-US" w:eastAsia="zh-CN" w:bidi="ar-SA"/>
          <w14:textFill>
            <w14:solidFill>
              <w14:schemeClr w14:val="tx1"/>
            </w14:solidFill>
          </w14:textFill>
        </w:rPr>
        <w:t>八、</w:t>
      </w:r>
      <w:bookmarkEnd w:id="29"/>
      <w:bookmarkEnd w:id="30"/>
      <w:bookmarkEnd w:id="31"/>
      <w:bookmarkEnd w:id="32"/>
      <w:bookmarkEnd w:id="33"/>
      <w:r>
        <w:rPr>
          <w:rFonts w:hint="eastAsia" w:ascii="宋体" w:hAnsi="宋体" w:eastAsia="宋体" w:cs="宋体"/>
          <w:b/>
          <w:bCs/>
          <w:color w:val="000000" w:themeColor="text1"/>
          <w:kern w:val="2"/>
          <w:sz w:val="24"/>
          <w:szCs w:val="24"/>
          <w:highlight w:val="none"/>
          <w:shd w:val="clear" w:color="auto" w:fill="FFFFFF"/>
          <w:lang w:val="en-US" w:eastAsia="zh-CN" w:bidi="ar-SA"/>
          <w14:textFill>
            <w14:solidFill>
              <w14:schemeClr w14:val="tx1"/>
            </w14:solidFill>
          </w14:textFill>
        </w:rPr>
        <w:t>凡对本次招标提出询问，请按照以下方式联系</w:t>
      </w: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报名联系人：王女士</w:t>
      </w: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联系电话：0396-2858369   18639627370</w:t>
      </w: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联系人：陈先生</w:t>
      </w: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联系电话：0396-2726379</w:t>
      </w: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联系邮箱：</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fldChar w:fldCharType="begin"/>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instrText xml:space="preserve"> HYPERLINK "mailto:zxyyjzcgbgs@163.com" </w:instrTex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fldChar w:fldCharType="separate"/>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zxyyjzcgbgs@163.com</w:t>
      </w: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fldChar w:fldCharType="end"/>
      </w: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监督部门：驻马店市中心医院纪检监察室</w:t>
      </w: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left"/>
        <w:textAlignment w:val="auto"/>
        <w:rPr>
          <w:rFonts w:hint="eastAsia" w:ascii="宋体" w:hAnsi="宋体" w:eastAsia="宋体" w:cs="宋体"/>
          <w:color w:val="000000" w:themeColor="text1"/>
          <w:sz w:val="24"/>
          <w:szCs w:val="28"/>
          <w:lang w:val="en-US" w:eastAsia="zh-CN"/>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监督电话：0396-2725435</w:t>
      </w:r>
    </w:p>
    <w:p>
      <w:pPr>
        <w:keepNext w:val="0"/>
        <w:keepLines w:val="0"/>
        <w:pageBreakBefore w:val="0"/>
        <w:widowControl/>
        <w:kinsoku/>
        <w:overflowPunct/>
        <w:topLinePunct w:val="0"/>
        <w:bidi w:val="0"/>
        <w:snapToGrid w:val="0"/>
        <w:spacing w:before="0" w:beforeAutospacing="0" w:after="0" w:afterAutospacing="0" w:line="360" w:lineRule="auto"/>
        <w:ind w:firstLine="480" w:firstLineChars="200"/>
        <w:jc w:val="right"/>
        <w:textAlignment w:val="auto"/>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pPr>
      <w:r>
        <w:rPr>
          <w:rFonts w:hint="eastAsia" w:ascii="宋体" w:hAnsi="宋体" w:eastAsia="宋体" w:cs="宋体"/>
          <w:color w:val="000000" w:themeColor="text1"/>
          <w:kern w:val="0"/>
          <w:sz w:val="24"/>
          <w:szCs w:val="24"/>
          <w:shd w:val="clear" w:color="auto" w:fill="FFFFFF"/>
          <w:lang w:val="en-US" w:eastAsia="zh-CN" w:bidi="ar-SA"/>
          <w14:textFill>
            <w14:solidFill>
              <w14:schemeClr w14:val="tx1"/>
            </w14:solidFill>
          </w14:textFill>
        </w:rPr>
        <w:t>驻马店市中心医院采购科</w:t>
      </w:r>
    </w:p>
    <w:p>
      <w:pPr>
        <w:pStyle w:val="28"/>
        <w:keepNext w:val="0"/>
        <w:keepLines w:val="0"/>
        <w:pageBreakBefore w:val="0"/>
        <w:widowControl/>
        <w:kinsoku/>
        <w:overflowPunct/>
        <w:topLinePunct w:val="0"/>
        <w:bidi w:val="0"/>
        <w:snapToGrid w:val="0"/>
        <w:spacing w:before="0" w:beforeAutospacing="0" w:after="0" w:afterAutospacing="0" w:line="360" w:lineRule="auto"/>
        <w:ind w:firstLine="480" w:firstLineChars="200"/>
        <w:jc w:val="right"/>
        <w:textAlignment w:val="auto"/>
        <w:rPr>
          <w:b/>
          <w:bCs/>
          <w:color w:val="auto"/>
          <w:sz w:val="24"/>
          <w:highlight w:val="none"/>
        </w:rPr>
      </w:pPr>
      <w:r>
        <w:rPr>
          <w:rFonts w:hint="eastAsia" w:ascii="宋体" w:hAnsi="宋体" w:eastAsia="宋体" w:cs="宋体"/>
          <w:color w:val="FF0000"/>
          <w:kern w:val="0"/>
          <w:sz w:val="24"/>
          <w:szCs w:val="24"/>
          <w:shd w:val="clear" w:color="auto" w:fill="FFFFFF"/>
          <w:lang w:val="en-US" w:eastAsia="zh-CN" w:bidi="ar-SA"/>
        </w:rPr>
        <w:t>2023年</w:t>
      </w:r>
      <w:r>
        <w:rPr>
          <w:rFonts w:hint="eastAsia" w:ascii="宋体" w:hAnsi="宋体" w:eastAsia="宋体" w:cs="宋体"/>
          <w:color w:val="FF0000"/>
          <w:kern w:val="0"/>
          <w:sz w:val="24"/>
          <w:szCs w:val="24"/>
          <w:highlight w:val="none"/>
          <w:shd w:val="clear" w:color="auto" w:fill="FFFFFF"/>
          <w:lang w:val="en-US" w:eastAsia="zh-CN" w:bidi="ar-SA"/>
        </w:rPr>
        <w:t>03月</w:t>
      </w:r>
      <w:r>
        <w:rPr>
          <w:rFonts w:hint="eastAsia" w:ascii="宋体" w:hAnsi="宋体" w:cs="宋体"/>
          <w:color w:val="FF0000"/>
          <w:kern w:val="0"/>
          <w:sz w:val="24"/>
          <w:szCs w:val="24"/>
          <w:highlight w:val="none"/>
          <w:shd w:val="clear" w:color="auto" w:fill="FFFFFF"/>
          <w:lang w:val="en-US" w:eastAsia="zh-CN" w:bidi="ar-SA"/>
        </w:rPr>
        <w:t>17</w:t>
      </w:r>
      <w:bookmarkStart w:id="100" w:name="_GoBack"/>
      <w:bookmarkEnd w:id="100"/>
      <w:r>
        <w:rPr>
          <w:rFonts w:hint="eastAsia" w:ascii="宋体" w:hAnsi="宋体" w:eastAsia="宋体" w:cs="宋体"/>
          <w:color w:val="FF0000"/>
          <w:kern w:val="0"/>
          <w:sz w:val="24"/>
          <w:szCs w:val="24"/>
          <w:highlight w:val="none"/>
          <w:shd w:val="clear" w:color="auto" w:fill="FFFFFF"/>
          <w:lang w:val="en-US" w:eastAsia="zh-CN" w:bidi="ar-SA"/>
        </w:rPr>
        <w:t>日</w:t>
      </w:r>
    </w:p>
    <w:p>
      <w:pPr>
        <w:keepNext w:val="0"/>
        <w:keepLines w:val="0"/>
        <w:pageBreakBefore w:val="0"/>
        <w:widowControl w:val="0"/>
        <w:kinsoku/>
        <w:wordWrap/>
        <w:overflowPunct/>
        <w:topLinePunct w:val="0"/>
        <w:autoSpaceDE/>
        <w:autoSpaceDN/>
        <w:bidi w:val="0"/>
        <w:adjustRightInd/>
        <w:snapToGrid w:val="0"/>
        <w:spacing w:after="161" w:afterLines="50" w:line="240" w:lineRule="auto"/>
        <w:jc w:val="center"/>
        <w:textAlignment w:val="auto"/>
        <w:outlineLvl w:val="0"/>
        <w:rPr>
          <w:rFonts w:ascii="宋体" w:hAnsi="宋体"/>
          <w:b/>
          <w:color w:val="auto"/>
          <w:sz w:val="40"/>
          <w:szCs w:val="40"/>
          <w:highlight w:val="none"/>
        </w:rPr>
      </w:pPr>
      <w:bookmarkStart w:id="34" w:name="_Toc26828"/>
      <w:bookmarkStart w:id="35" w:name="_Toc29890"/>
      <w:bookmarkStart w:id="36" w:name="_Toc23793"/>
      <w:r>
        <w:rPr>
          <w:rFonts w:hint="eastAsia" w:ascii="宋体" w:hAnsi="宋体"/>
          <w:b/>
          <w:color w:val="auto"/>
          <w:sz w:val="40"/>
          <w:szCs w:val="40"/>
          <w:highlight w:val="none"/>
        </w:rPr>
        <w:t xml:space="preserve">第二章  </w:t>
      </w:r>
      <w:r>
        <w:rPr>
          <w:rFonts w:hint="eastAsia" w:ascii="宋体" w:hAnsi="宋体"/>
          <w:b/>
          <w:color w:val="auto"/>
          <w:sz w:val="40"/>
          <w:szCs w:val="40"/>
          <w:highlight w:val="none"/>
          <w:lang w:eastAsia="zh-CN"/>
        </w:rPr>
        <w:t>采购</w:t>
      </w:r>
      <w:r>
        <w:rPr>
          <w:rFonts w:hint="eastAsia" w:ascii="宋体" w:hAnsi="宋体"/>
          <w:b/>
          <w:color w:val="auto"/>
          <w:sz w:val="40"/>
          <w:szCs w:val="40"/>
          <w:highlight w:val="none"/>
        </w:rPr>
        <w:t>需求</w:t>
      </w:r>
      <w:bookmarkEnd w:id="34"/>
      <w:bookmarkStart w:id="37" w:name="_Toc9989"/>
      <w:bookmarkStart w:id="38" w:name="_Toc23610"/>
      <w:bookmarkStart w:id="39" w:name="_Toc31536"/>
    </w:p>
    <w:bookmarkEnd w:id="37"/>
    <w:bookmarkEnd w:id="38"/>
    <w:bookmarkEnd w:id="39"/>
    <w:p>
      <w:pPr>
        <w:widowControl/>
        <w:adjustRightInd w:val="0"/>
        <w:snapToGrid w:val="0"/>
        <w:spacing w:line="360" w:lineRule="auto"/>
        <w:jc w:val="left"/>
        <w:rPr>
          <w:rFonts w:hint="eastAsia" w:ascii="宋体" w:hAnsi="宋体" w:cs="宋体"/>
          <w:color w:val="auto"/>
          <w:sz w:val="24"/>
          <w:szCs w:val="24"/>
          <w:highlight w:val="none"/>
          <w:lang w:eastAsia="zh-CN"/>
        </w:rPr>
      </w:pPr>
      <w:r>
        <w:rPr>
          <w:rFonts w:hint="eastAsia" w:ascii="宋体" w:hAnsi="宋体" w:cs="宋体"/>
          <w:color w:val="auto"/>
          <w:sz w:val="24"/>
          <w:szCs w:val="24"/>
          <w:highlight w:val="none"/>
          <w:lang w:eastAsia="zh-CN"/>
        </w:rPr>
        <w:t>一、</w:t>
      </w:r>
      <w:r>
        <w:rPr>
          <w:rFonts w:hint="eastAsia" w:ascii="宋体" w:hAnsi="宋体" w:cs="宋体"/>
          <w:color w:val="auto"/>
          <w:sz w:val="24"/>
          <w:szCs w:val="24"/>
          <w:highlight w:val="none"/>
        </w:rPr>
        <w:t>项目名称：</w:t>
      </w:r>
      <w:r>
        <w:rPr>
          <w:rFonts w:hint="eastAsia" w:ascii="宋体" w:hAnsi="宋体" w:cs="宋体"/>
          <w:color w:val="auto"/>
          <w:sz w:val="24"/>
          <w:szCs w:val="24"/>
          <w:highlight w:val="none"/>
          <w:lang w:eastAsia="zh-CN"/>
        </w:rPr>
        <w:t>驻马店市中心医院医用输血输液加温器采购项目</w:t>
      </w:r>
    </w:p>
    <w:p>
      <w:pPr>
        <w:widowControl/>
        <w:adjustRightInd w:val="0"/>
        <w:snapToGrid w:val="0"/>
        <w:spacing w:line="360" w:lineRule="auto"/>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eastAsia="zh-CN"/>
        </w:rPr>
        <w:t>二、项目用途说明：采购医用输血输液加温器。</w:t>
      </w:r>
    </w:p>
    <w:p>
      <w:pPr>
        <w:widowControl/>
        <w:adjustRightInd w:val="0"/>
        <w:snapToGrid w:val="0"/>
        <w:spacing w:line="360" w:lineRule="auto"/>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三、详细技术要求、参数及产品资料等： 附技术偏离表、评分标准</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2"/>
        <w:gridCol w:w="3299"/>
        <w:gridCol w:w="1612"/>
        <w:gridCol w:w="1800"/>
        <w:gridCol w:w="1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trPr>
        <w:tc>
          <w:tcPr>
            <w:tcW w:w="942" w:type="dxa"/>
            <w:vAlign w:val="center"/>
          </w:tcPr>
          <w:p>
            <w:pPr>
              <w:pStyle w:val="12"/>
              <w:spacing w:line="360" w:lineRule="auto"/>
              <w:ind w:left="0" w:leftChars="0"/>
              <w:jc w:val="center"/>
              <w:rPr>
                <w:rFonts w:hint="eastAsia" w:ascii="宋体" w:hAnsi="宋体" w:eastAsia="宋体" w:cs="宋体"/>
                <w:color w:val="auto"/>
                <w:kern w:val="2"/>
                <w:sz w:val="24"/>
                <w:szCs w:val="24"/>
                <w:highlight w:val="none"/>
                <w:vertAlign w:val="baseline"/>
                <w:lang w:val="en-US" w:eastAsia="zh-CN" w:bidi="ar-SA"/>
              </w:rPr>
            </w:pPr>
            <w:r>
              <w:rPr>
                <w:rFonts w:hint="eastAsia" w:cs="宋体"/>
                <w:b/>
                <w:bCs/>
                <w:color w:val="auto"/>
                <w:sz w:val="24"/>
                <w:szCs w:val="24"/>
                <w:lang w:val="en-US" w:eastAsia="zh-CN"/>
              </w:rPr>
              <w:t>序号</w:t>
            </w:r>
          </w:p>
        </w:tc>
        <w:tc>
          <w:tcPr>
            <w:tcW w:w="3299" w:type="dxa"/>
            <w:vAlign w:val="center"/>
          </w:tcPr>
          <w:p>
            <w:pPr>
              <w:pStyle w:val="12"/>
              <w:spacing w:line="360" w:lineRule="auto"/>
              <w:ind w:left="0" w:leftChars="0"/>
              <w:jc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b/>
                <w:bCs/>
                <w:color w:val="auto"/>
                <w:sz w:val="24"/>
                <w:szCs w:val="24"/>
              </w:rPr>
              <w:t>项目名称</w:t>
            </w:r>
          </w:p>
        </w:tc>
        <w:tc>
          <w:tcPr>
            <w:tcW w:w="1612" w:type="dxa"/>
            <w:vAlign w:val="center"/>
          </w:tcPr>
          <w:p>
            <w:pPr>
              <w:pStyle w:val="12"/>
              <w:spacing w:line="360" w:lineRule="auto"/>
              <w:ind w:left="0" w:leftChars="0"/>
              <w:jc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b/>
                <w:bCs/>
                <w:color w:val="auto"/>
                <w:sz w:val="24"/>
                <w:szCs w:val="24"/>
              </w:rPr>
              <w:t>数量或规模</w:t>
            </w:r>
          </w:p>
        </w:tc>
        <w:tc>
          <w:tcPr>
            <w:tcW w:w="1800" w:type="dxa"/>
            <w:vAlign w:val="center"/>
          </w:tcPr>
          <w:p>
            <w:pPr>
              <w:pStyle w:val="12"/>
              <w:spacing w:line="360" w:lineRule="auto"/>
              <w:ind w:left="0" w:leftChars="0"/>
              <w:jc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b/>
                <w:bCs/>
                <w:color w:val="auto"/>
                <w:sz w:val="24"/>
                <w:szCs w:val="24"/>
              </w:rPr>
              <w:t>资金预算</w:t>
            </w:r>
            <w:r>
              <w:rPr>
                <w:rFonts w:hint="eastAsia" w:ascii="宋体" w:hAnsi="宋体" w:eastAsia="宋体" w:cs="宋体"/>
                <w:b/>
                <w:bCs/>
                <w:color w:val="auto"/>
                <w:sz w:val="24"/>
                <w:szCs w:val="24"/>
                <w:lang w:eastAsia="zh-CN"/>
              </w:rPr>
              <w:t>（元）</w:t>
            </w:r>
          </w:p>
        </w:tc>
        <w:tc>
          <w:tcPr>
            <w:tcW w:w="1346" w:type="dxa"/>
            <w:vAlign w:val="center"/>
          </w:tcPr>
          <w:p>
            <w:pPr>
              <w:pStyle w:val="12"/>
              <w:spacing w:line="360" w:lineRule="auto"/>
              <w:ind w:left="0" w:leftChars="0"/>
              <w:jc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b/>
                <w:bCs/>
                <w:color w:val="auto"/>
                <w:sz w:val="24"/>
                <w:szCs w:val="24"/>
              </w:rPr>
              <w:t>资金来源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942" w:type="dxa"/>
            <w:vAlign w:val="center"/>
          </w:tcPr>
          <w:p>
            <w:pPr>
              <w:pStyle w:val="12"/>
              <w:spacing w:line="360" w:lineRule="auto"/>
              <w:ind w:left="0" w:leftChars="0"/>
              <w:jc w:val="center"/>
              <w:rPr>
                <w:rFonts w:hint="eastAsia" w:ascii="宋体" w:hAnsi="宋体" w:eastAsia="宋体" w:cs="宋体"/>
                <w:color w:val="auto"/>
                <w:kern w:val="2"/>
                <w:sz w:val="24"/>
                <w:szCs w:val="24"/>
                <w:highlight w:val="none"/>
                <w:vertAlign w:val="baseline"/>
                <w:lang w:val="en-US" w:eastAsia="zh-CN" w:bidi="ar-SA"/>
              </w:rPr>
            </w:pPr>
            <w:r>
              <w:rPr>
                <w:rFonts w:hint="eastAsia" w:cs="宋体"/>
                <w:color w:val="auto"/>
                <w:sz w:val="24"/>
                <w:szCs w:val="24"/>
                <w:lang w:val="en-US" w:eastAsia="zh-CN"/>
              </w:rPr>
              <w:t>1</w:t>
            </w:r>
          </w:p>
        </w:tc>
        <w:tc>
          <w:tcPr>
            <w:tcW w:w="3299" w:type="dxa"/>
            <w:vAlign w:val="center"/>
          </w:tcPr>
          <w:p>
            <w:pPr>
              <w:pStyle w:val="12"/>
              <w:spacing w:line="360" w:lineRule="auto"/>
              <w:ind w:left="0" w:leftChars="0"/>
              <w:jc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color w:val="auto"/>
                <w:kern w:val="2"/>
                <w:sz w:val="24"/>
                <w:szCs w:val="24"/>
                <w:highlight w:val="none"/>
                <w:vertAlign w:val="baseline"/>
                <w:lang w:val="en-US" w:eastAsia="zh-CN" w:bidi="ar-SA"/>
              </w:rPr>
              <w:t>医用输血输液加温器</w:t>
            </w:r>
          </w:p>
        </w:tc>
        <w:tc>
          <w:tcPr>
            <w:tcW w:w="1612" w:type="dxa"/>
            <w:vAlign w:val="center"/>
          </w:tcPr>
          <w:p>
            <w:pPr>
              <w:pStyle w:val="12"/>
              <w:spacing w:line="360" w:lineRule="auto"/>
              <w:ind w:left="0" w:leftChars="0"/>
              <w:jc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color w:val="auto"/>
                <w:kern w:val="2"/>
                <w:sz w:val="24"/>
                <w:szCs w:val="24"/>
                <w:highlight w:val="none"/>
                <w:vertAlign w:val="baseline"/>
                <w:lang w:val="en-US" w:eastAsia="zh-CN" w:bidi="ar-SA"/>
              </w:rPr>
              <w:t>1</w:t>
            </w:r>
          </w:p>
        </w:tc>
        <w:tc>
          <w:tcPr>
            <w:tcW w:w="1800" w:type="dxa"/>
            <w:vAlign w:val="center"/>
          </w:tcPr>
          <w:p>
            <w:pPr>
              <w:pStyle w:val="12"/>
              <w:spacing w:line="360" w:lineRule="auto"/>
              <w:ind w:left="0" w:leftChars="0"/>
              <w:jc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color w:val="auto"/>
                <w:kern w:val="2"/>
                <w:sz w:val="24"/>
                <w:szCs w:val="24"/>
                <w:highlight w:val="none"/>
                <w:vertAlign w:val="baseline"/>
                <w:lang w:val="en-US" w:eastAsia="zh-CN" w:bidi="ar-SA"/>
              </w:rPr>
              <w:t>5万元</w:t>
            </w:r>
          </w:p>
        </w:tc>
        <w:tc>
          <w:tcPr>
            <w:tcW w:w="1346" w:type="dxa"/>
            <w:vAlign w:val="center"/>
          </w:tcPr>
          <w:p>
            <w:pPr>
              <w:pStyle w:val="12"/>
              <w:spacing w:line="360" w:lineRule="auto"/>
              <w:ind w:left="0" w:leftChars="0"/>
              <w:jc w:val="center"/>
              <w:rPr>
                <w:rFonts w:hint="eastAsia" w:ascii="宋体" w:hAnsi="宋体" w:eastAsia="宋体" w:cs="宋体"/>
                <w:color w:val="auto"/>
                <w:kern w:val="2"/>
                <w:sz w:val="24"/>
                <w:szCs w:val="24"/>
                <w:highlight w:val="none"/>
                <w:vertAlign w:val="baseline"/>
                <w:lang w:val="en-US" w:eastAsia="zh-CN" w:bidi="ar-SA"/>
              </w:rPr>
            </w:pPr>
            <w:r>
              <w:rPr>
                <w:rFonts w:hint="eastAsia" w:ascii="宋体" w:hAnsi="宋体" w:eastAsia="宋体" w:cs="宋体"/>
                <w:color w:val="auto"/>
                <w:kern w:val="2"/>
                <w:sz w:val="24"/>
                <w:szCs w:val="24"/>
                <w:highlight w:val="none"/>
                <w:vertAlign w:val="baseline"/>
                <w:lang w:val="en-US" w:eastAsia="zh-CN" w:bidi="ar-SA"/>
              </w:rPr>
              <w:t>自筹</w:t>
            </w:r>
          </w:p>
        </w:tc>
      </w:tr>
    </w:tbl>
    <w:p>
      <w:pPr>
        <w:widowControl/>
        <w:numPr>
          <w:ilvl w:val="0"/>
          <w:numId w:val="1"/>
        </w:numPr>
        <w:adjustRightInd w:val="0"/>
        <w:snapToGrid w:val="0"/>
        <w:spacing w:line="360" w:lineRule="auto"/>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售后服务条件及交货日期（或工期）：</w:t>
      </w:r>
    </w:p>
    <w:p>
      <w:pPr>
        <w:widowControl/>
        <w:numPr>
          <w:ilvl w:val="0"/>
          <w:numId w:val="0"/>
        </w:numPr>
        <w:adjustRightInd w:val="0"/>
        <w:snapToGrid w:val="0"/>
        <w:spacing w:line="360" w:lineRule="auto"/>
        <w:ind w:firstLine="480" w:firstLineChars="20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1、从产品最终验收合格之日起，整机保修≥两年，出具相关服务承诺书。</w:t>
      </w:r>
    </w:p>
    <w:p>
      <w:pPr>
        <w:widowControl/>
        <w:numPr>
          <w:ilvl w:val="0"/>
          <w:numId w:val="0"/>
        </w:numPr>
        <w:adjustRightInd w:val="0"/>
        <w:snapToGrid w:val="0"/>
        <w:spacing w:line="360" w:lineRule="auto"/>
        <w:ind w:leftChars="0" w:firstLine="480" w:firstLineChars="20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2、费用：在保修期内，由于非人为因素货物故障所产生的费用由供应商负责。</w:t>
      </w:r>
    </w:p>
    <w:p>
      <w:pPr>
        <w:widowControl/>
        <w:numPr>
          <w:ilvl w:val="0"/>
          <w:numId w:val="0"/>
        </w:numPr>
        <w:adjustRightInd w:val="0"/>
        <w:snapToGrid w:val="0"/>
        <w:spacing w:line="360" w:lineRule="auto"/>
        <w:ind w:leftChars="0" w:firstLine="480" w:firstLineChars="20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3、响应：供应商应保证在12小时内对用户提出的问题或故障予以响应及处理。</w:t>
      </w:r>
    </w:p>
    <w:p>
      <w:pPr>
        <w:widowControl/>
        <w:numPr>
          <w:ilvl w:val="0"/>
          <w:numId w:val="0"/>
        </w:numPr>
        <w:adjustRightInd w:val="0"/>
        <w:snapToGrid w:val="0"/>
        <w:spacing w:line="360" w:lineRule="auto"/>
        <w:ind w:leftChars="0" w:firstLine="480" w:firstLineChars="20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4、供应商应免费提供维护手册、维修手册、软件备份、故障代码表、备件清单、零部件、维修密码等维护维修必需的材料和信息。</w:t>
      </w:r>
    </w:p>
    <w:p>
      <w:pPr>
        <w:widowControl/>
        <w:numPr>
          <w:ilvl w:val="0"/>
          <w:numId w:val="0"/>
        </w:numPr>
        <w:adjustRightInd w:val="0"/>
        <w:snapToGrid w:val="0"/>
        <w:spacing w:line="360" w:lineRule="auto"/>
        <w:ind w:leftChars="0" w:firstLine="480" w:firstLineChars="200"/>
        <w:jc w:val="left"/>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5、培训：免费提供操作培训和维修培训。</w:t>
      </w:r>
    </w:p>
    <w:p>
      <w:pPr>
        <w:pStyle w:val="2"/>
        <w:pageBreakBefore w:val="0"/>
        <w:widowControl w:val="0"/>
        <w:kinsoku/>
        <w:wordWrap/>
        <w:overflowPunct/>
        <w:topLinePunct w:val="0"/>
        <w:autoSpaceDE/>
        <w:autoSpaceDN/>
        <w:bidi w:val="0"/>
        <w:adjustRightInd/>
        <w:snapToGrid/>
        <w:spacing w:before="0" w:after="0" w:line="360" w:lineRule="auto"/>
        <w:jc w:val="center"/>
        <w:textAlignment w:val="auto"/>
        <w:rPr>
          <w:rFonts w:hint="eastAsia" w:ascii="宋体" w:hAnsi="宋体" w:eastAsia="宋体" w:cs="宋体"/>
          <w:b w:val="0"/>
          <w:bCs w:val="0"/>
          <w:sz w:val="24"/>
          <w:szCs w:val="24"/>
          <w:lang w:eastAsia="zh-CN"/>
        </w:rPr>
      </w:pPr>
      <w:r>
        <w:rPr>
          <w:rFonts w:hint="eastAsia" w:ascii="宋体" w:hAnsi="宋体" w:eastAsia="宋体" w:cs="宋体"/>
          <w:b/>
          <w:bCs/>
          <w:sz w:val="24"/>
          <w:szCs w:val="24"/>
          <w:lang w:eastAsia="zh-CN"/>
        </w:rPr>
        <w:t>医用输血输液加温器招标参数</w:t>
      </w:r>
    </w:p>
    <w:p>
      <w:pPr>
        <w:pStyle w:val="2"/>
        <w:pageBreakBefore w:val="0"/>
        <w:widowControl w:val="0"/>
        <w:kinsoku/>
        <w:wordWrap/>
        <w:overflowPunct/>
        <w:topLinePunct w:val="0"/>
        <w:autoSpaceDE/>
        <w:autoSpaceDN/>
        <w:bidi w:val="0"/>
        <w:adjustRightInd/>
        <w:snapToGrid/>
        <w:spacing w:before="0" w:after="0" w:line="360" w:lineRule="auto"/>
        <w:textAlignment w:val="auto"/>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1、主机结构：一体化支架提手</w:t>
      </w:r>
    </w:p>
    <w:p>
      <w:pPr>
        <w:pStyle w:val="2"/>
        <w:pageBreakBefore w:val="0"/>
        <w:widowControl w:val="0"/>
        <w:kinsoku/>
        <w:wordWrap/>
        <w:overflowPunct/>
        <w:topLinePunct w:val="0"/>
        <w:autoSpaceDE/>
        <w:autoSpaceDN/>
        <w:bidi w:val="0"/>
        <w:adjustRightInd/>
        <w:snapToGrid/>
        <w:spacing w:before="0" w:after="0" w:line="360" w:lineRule="auto"/>
        <w:textAlignment w:val="auto"/>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val="en-US" w:eastAsia="zh-CN"/>
        </w:rPr>
        <w:t>2、</w:t>
      </w:r>
      <w:r>
        <w:rPr>
          <w:rFonts w:hint="eastAsia" w:ascii="宋体" w:hAnsi="宋体" w:eastAsia="宋体" w:cs="宋体"/>
          <w:b w:val="0"/>
          <w:bCs w:val="0"/>
          <w:sz w:val="24"/>
          <w:szCs w:val="24"/>
          <w:lang w:eastAsia="zh-CN"/>
        </w:rPr>
        <w:t>硅胶柔性加热套管，全程包裹式加温，液体管路无裸露部分；</w:t>
      </w:r>
    </w:p>
    <w:p>
      <w:pPr>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＊3、温度可调范围： 33℃-41℃，连续可调，增率0.1℃，控温精度为0.1℃；</w:t>
      </w:r>
    </w:p>
    <w:p>
      <w:pPr>
        <w:pStyle w:val="2"/>
        <w:pageBreakBefore w:val="0"/>
        <w:widowControl w:val="0"/>
        <w:kinsoku/>
        <w:wordWrap/>
        <w:overflowPunct/>
        <w:topLinePunct w:val="0"/>
        <w:autoSpaceDE/>
        <w:autoSpaceDN/>
        <w:bidi w:val="0"/>
        <w:adjustRightInd/>
        <w:snapToGrid/>
        <w:spacing w:before="0" w:after="0" w:line="360" w:lineRule="auto"/>
        <w:textAlignment w:val="auto"/>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4、显示屏：微电脑闭环温控系统，彩色显示屏，尺寸≥80*90mm；</w:t>
      </w:r>
    </w:p>
    <w:p>
      <w:pPr>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5、按键操作模式；</w:t>
      </w:r>
    </w:p>
    <w:p>
      <w:pPr>
        <w:pStyle w:val="2"/>
        <w:pageBreakBefore w:val="0"/>
        <w:widowControl w:val="0"/>
        <w:kinsoku/>
        <w:wordWrap/>
        <w:overflowPunct/>
        <w:topLinePunct w:val="0"/>
        <w:autoSpaceDE/>
        <w:autoSpaceDN/>
        <w:bidi w:val="0"/>
        <w:adjustRightInd/>
        <w:snapToGrid/>
        <w:spacing w:before="0" w:after="0" w:line="360" w:lineRule="auto"/>
        <w:textAlignment w:val="auto"/>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＊6、机器运行时同屏显示</w:t>
      </w:r>
      <w:r>
        <w:rPr>
          <w:rFonts w:hint="default" w:ascii="Arial" w:hAnsi="Arial" w:eastAsia="宋体" w:cs="Arial"/>
          <w:b w:val="0"/>
          <w:bCs w:val="0"/>
          <w:sz w:val="24"/>
          <w:szCs w:val="24"/>
          <w:lang w:eastAsia="zh-CN"/>
        </w:rPr>
        <w:t>≥</w:t>
      </w:r>
      <w:r>
        <w:rPr>
          <w:rFonts w:hint="eastAsia" w:ascii="宋体" w:hAnsi="宋体" w:eastAsia="宋体" w:cs="宋体"/>
          <w:b w:val="0"/>
          <w:bCs w:val="0"/>
          <w:sz w:val="24"/>
          <w:szCs w:val="24"/>
          <w:lang w:eastAsia="zh-CN"/>
        </w:rPr>
        <w:t>六参数，包括：加热时间，设定温度，加热温度，高温报警，低温报警，传感器故障等；</w:t>
      </w:r>
    </w:p>
    <w:p>
      <w:pPr>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7、使用常规输血输液管路，无需专用耗材；</w:t>
      </w:r>
    </w:p>
    <w:p>
      <w:pPr>
        <w:pStyle w:val="2"/>
        <w:pageBreakBefore w:val="0"/>
        <w:widowControl w:val="0"/>
        <w:kinsoku/>
        <w:wordWrap/>
        <w:overflowPunct/>
        <w:topLinePunct w:val="0"/>
        <w:autoSpaceDE/>
        <w:autoSpaceDN/>
        <w:bidi w:val="0"/>
        <w:adjustRightInd/>
        <w:snapToGrid/>
        <w:spacing w:before="0" w:after="0" w:line="360" w:lineRule="auto"/>
        <w:textAlignment w:val="auto"/>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8、安全控制：系统内置报警测试功能，在面板操作即可测试报警功能是否正常；</w:t>
      </w:r>
    </w:p>
    <w:p>
      <w:pPr>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9、超温断电保护：超过42℃系统声光报警自动停止加热；</w:t>
      </w:r>
    </w:p>
    <w:p>
      <w:pPr>
        <w:pStyle w:val="2"/>
        <w:pageBreakBefore w:val="0"/>
        <w:widowControl w:val="0"/>
        <w:kinsoku/>
        <w:wordWrap/>
        <w:overflowPunct/>
        <w:topLinePunct w:val="0"/>
        <w:autoSpaceDE/>
        <w:autoSpaceDN/>
        <w:bidi w:val="0"/>
        <w:adjustRightInd/>
        <w:snapToGrid/>
        <w:spacing w:before="0" w:after="0" w:line="360" w:lineRule="auto"/>
        <w:textAlignment w:val="auto"/>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10、低温报警：低于32℃系统声光报警提示低温；</w:t>
      </w:r>
    </w:p>
    <w:p>
      <w:pPr>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＊11、</w:t>
      </w:r>
      <w:r>
        <w:rPr>
          <w:rFonts w:hint="eastAsia" w:ascii="宋体" w:hAnsi="宋体" w:eastAsia="宋体" w:cs="宋体"/>
          <w:b w:val="0"/>
          <w:bCs w:val="0"/>
          <w:kern w:val="2"/>
          <w:sz w:val="24"/>
          <w:szCs w:val="24"/>
          <w:lang w:val="en-US" w:eastAsia="zh-CN" w:bidi="ar-SA"/>
        </w:rPr>
        <w:t>双加温通道，每个通道可单独设定温度和独立控制加温，可单独或串联使用；</w:t>
      </w:r>
    </w:p>
    <w:p>
      <w:pPr>
        <w:pStyle w:val="2"/>
        <w:pageBreakBefore w:val="0"/>
        <w:widowControl w:val="0"/>
        <w:kinsoku/>
        <w:wordWrap/>
        <w:overflowPunct/>
        <w:topLinePunct w:val="0"/>
        <w:autoSpaceDE/>
        <w:autoSpaceDN/>
        <w:bidi w:val="0"/>
        <w:adjustRightInd/>
        <w:snapToGrid/>
        <w:spacing w:before="0" w:after="0" w:line="360" w:lineRule="auto"/>
        <w:textAlignment w:val="auto"/>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12、预热时间：从20℃-36℃小于2分钟；</w:t>
      </w:r>
    </w:p>
    <w:p>
      <w:pPr>
        <w:pStyle w:val="2"/>
        <w:pageBreakBefore w:val="0"/>
        <w:widowControl w:val="0"/>
        <w:kinsoku/>
        <w:wordWrap/>
        <w:overflowPunct/>
        <w:topLinePunct w:val="0"/>
        <w:autoSpaceDE/>
        <w:autoSpaceDN/>
        <w:bidi w:val="0"/>
        <w:adjustRightInd/>
        <w:snapToGrid/>
        <w:spacing w:before="0" w:after="0" w:line="360" w:lineRule="auto"/>
        <w:textAlignment w:val="auto"/>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＊1</w:t>
      </w:r>
      <w:r>
        <w:rPr>
          <w:rFonts w:hint="eastAsia" w:ascii="宋体" w:hAnsi="宋体" w:eastAsia="宋体" w:cs="宋体"/>
          <w:b w:val="0"/>
          <w:bCs w:val="0"/>
          <w:sz w:val="24"/>
          <w:szCs w:val="24"/>
          <w:lang w:val="en-US" w:eastAsia="zh-CN"/>
        </w:rPr>
        <w:t>3</w:t>
      </w:r>
      <w:r>
        <w:rPr>
          <w:rFonts w:hint="eastAsia" w:ascii="宋体" w:hAnsi="宋体" w:eastAsia="宋体" w:cs="宋体"/>
          <w:b w:val="0"/>
          <w:bCs w:val="0"/>
          <w:sz w:val="24"/>
          <w:szCs w:val="24"/>
          <w:lang w:eastAsia="zh-CN"/>
        </w:rPr>
        <w:t>、加温管尾部开口≥45°；</w:t>
      </w:r>
    </w:p>
    <w:p>
      <w:pPr>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＊1</w:t>
      </w:r>
      <w:r>
        <w:rPr>
          <w:rFonts w:hint="eastAsia" w:ascii="宋体" w:hAnsi="宋体" w:eastAsia="宋体" w:cs="宋体"/>
          <w:b w:val="0"/>
          <w:bCs w:val="0"/>
          <w:sz w:val="24"/>
          <w:szCs w:val="24"/>
          <w:lang w:val="en-US" w:eastAsia="zh-CN"/>
        </w:rPr>
        <w:t>4</w:t>
      </w:r>
      <w:r>
        <w:rPr>
          <w:rFonts w:hint="eastAsia" w:ascii="宋体" w:hAnsi="宋体" w:eastAsia="宋体" w:cs="宋体"/>
          <w:b w:val="0"/>
          <w:bCs w:val="0"/>
          <w:sz w:val="24"/>
          <w:szCs w:val="24"/>
          <w:lang w:eastAsia="zh-CN"/>
        </w:rPr>
        <w:t>、加热管可选长度≥10种，包括0.5米，0.6米，0.9米，1.0米，1.2米，1.4米，1.5米，1.8米，2.4米，2.8米等；</w:t>
      </w:r>
    </w:p>
    <w:p>
      <w:pPr>
        <w:pStyle w:val="2"/>
        <w:pageBreakBefore w:val="0"/>
        <w:widowControl w:val="0"/>
        <w:kinsoku/>
        <w:wordWrap/>
        <w:overflowPunct/>
        <w:topLinePunct w:val="0"/>
        <w:autoSpaceDE/>
        <w:autoSpaceDN/>
        <w:bidi w:val="0"/>
        <w:adjustRightInd/>
        <w:snapToGrid/>
        <w:spacing w:before="0" w:after="0" w:line="360" w:lineRule="auto"/>
        <w:textAlignment w:val="auto"/>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＊1</w:t>
      </w:r>
      <w:r>
        <w:rPr>
          <w:rFonts w:hint="eastAsia" w:ascii="宋体" w:hAnsi="宋体" w:eastAsia="宋体" w:cs="宋体"/>
          <w:b w:val="0"/>
          <w:bCs w:val="0"/>
          <w:sz w:val="24"/>
          <w:szCs w:val="24"/>
          <w:lang w:val="en-US" w:eastAsia="zh-CN"/>
        </w:rPr>
        <w:t>5</w:t>
      </w:r>
      <w:r>
        <w:rPr>
          <w:rFonts w:hint="eastAsia" w:ascii="宋体" w:hAnsi="宋体" w:eastAsia="宋体" w:cs="宋体"/>
          <w:b w:val="0"/>
          <w:bCs w:val="0"/>
          <w:sz w:val="24"/>
          <w:szCs w:val="24"/>
          <w:lang w:eastAsia="zh-CN"/>
        </w:rPr>
        <w:t>、加热管可选内径≥3种，其中一条为内径14.5mm具备特殊加温需要，一条内径3.5mm或5mm常规加温；</w:t>
      </w:r>
    </w:p>
    <w:p>
      <w:pPr>
        <w:pStyle w:val="2"/>
        <w:pageBreakBefore w:val="0"/>
        <w:widowControl w:val="0"/>
        <w:kinsoku/>
        <w:wordWrap/>
        <w:overflowPunct/>
        <w:topLinePunct w:val="0"/>
        <w:autoSpaceDE/>
        <w:autoSpaceDN/>
        <w:bidi w:val="0"/>
        <w:adjustRightInd/>
        <w:snapToGrid/>
        <w:spacing w:before="0" w:after="0" w:line="360" w:lineRule="auto"/>
        <w:textAlignment w:val="auto"/>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1</w:t>
      </w:r>
      <w:r>
        <w:rPr>
          <w:rFonts w:hint="eastAsia" w:ascii="宋体" w:hAnsi="宋体" w:eastAsia="宋体" w:cs="宋体"/>
          <w:b w:val="0"/>
          <w:bCs w:val="0"/>
          <w:sz w:val="24"/>
          <w:szCs w:val="24"/>
          <w:lang w:val="en-US" w:eastAsia="zh-CN"/>
        </w:rPr>
        <w:t>6</w:t>
      </w:r>
      <w:r>
        <w:rPr>
          <w:rFonts w:hint="eastAsia" w:ascii="宋体" w:hAnsi="宋体" w:eastAsia="宋体" w:cs="宋体"/>
          <w:b w:val="0"/>
          <w:bCs w:val="0"/>
          <w:sz w:val="24"/>
          <w:szCs w:val="24"/>
          <w:lang w:eastAsia="zh-CN"/>
        </w:rPr>
        <w:t>、电气安全保护级别：BF型，防除颤保护；</w:t>
      </w:r>
    </w:p>
    <w:p>
      <w:pPr>
        <w:pStyle w:val="2"/>
        <w:pageBreakBefore w:val="0"/>
        <w:widowControl w:val="0"/>
        <w:kinsoku/>
        <w:wordWrap/>
        <w:overflowPunct/>
        <w:topLinePunct w:val="0"/>
        <w:autoSpaceDE/>
        <w:autoSpaceDN/>
        <w:bidi w:val="0"/>
        <w:adjustRightInd/>
        <w:snapToGrid/>
        <w:spacing w:before="0" w:after="0" w:line="360" w:lineRule="auto"/>
        <w:textAlignment w:val="auto"/>
        <w:rPr>
          <w:rFonts w:hint="eastAsia" w:ascii="宋体" w:hAnsi="宋体" w:eastAsia="宋体" w:cs="宋体"/>
          <w:b w:val="0"/>
          <w:bCs w:val="0"/>
          <w:sz w:val="24"/>
          <w:szCs w:val="24"/>
          <w:lang w:eastAsia="zh-CN"/>
        </w:rPr>
      </w:pPr>
      <w:r>
        <w:rPr>
          <w:rFonts w:hint="eastAsia" w:ascii="宋体" w:hAnsi="宋体" w:cs="宋体"/>
          <w:b w:val="0"/>
          <w:bCs w:val="0"/>
          <w:sz w:val="24"/>
          <w:szCs w:val="24"/>
          <w:lang w:eastAsia="zh-CN"/>
        </w:rPr>
        <w:t>二、</w:t>
      </w:r>
      <w:r>
        <w:rPr>
          <w:rFonts w:hint="eastAsia" w:ascii="宋体" w:hAnsi="宋体" w:eastAsia="宋体" w:cs="宋体"/>
          <w:b w:val="0"/>
          <w:bCs w:val="0"/>
          <w:sz w:val="24"/>
          <w:szCs w:val="24"/>
          <w:lang w:eastAsia="zh-CN"/>
        </w:rPr>
        <w:t>配置要求（包含但不限于）</w:t>
      </w:r>
    </w:p>
    <w:p>
      <w:pPr>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1.双通道加温器主机：壹台</w:t>
      </w:r>
    </w:p>
    <w:p>
      <w:pPr>
        <w:pStyle w:val="2"/>
        <w:pageBreakBefore w:val="0"/>
        <w:widowControl w:val="0"/>
        <w:kinsoku/>
        <w:wordWrap/>
        <w:overflowPunct/>
        <w:topLinePunct w:val="0"/>
        <w:autoSpaceDE/>
        <w:autoSpaceDN/>
        <w:bidi w:val="0"/>
        <w:adjustRightInd/>
        <w:snapToGrid/>
        <w:spacing w:before="0" w:after="0" w:line="360" w:lineRule="auto"/>
        <w:textAlignment w:val="auto"/>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2.加热管：贰条</w:t>
      </w:r>
    </w:p>
    <w:p>
      <w:pPr>
        <w:pStyle w:val="2"/>
        <w:pageBreakBefore w:val="0"/>
        <w:widowControl w:val="0"/>
        <w:kinsoku/>
        <w:wordWrap/>
        <w:overflowPunct/>
        <w:topLinePunct w:val="0"/>
        <w:autoSpaceDE/>
        <w:autoSpaceDN/>
        <w:bidi w:val="0"/>
        <w:adjustRightInd/>
        <w:snapToGrid/>
        <w:spacing w:before="0" w:after="0" w:line="360" w:lineRule="auto"/>
        <w:textAlignment w:val="auto"/>
        <w:rPr>
          <w:rFonts w:hint="eastAsia" w:ascii="宋体" w:hAnsi="宋体" w:eastAsia="宋体" w:cs="宋体"/>
          <w:b w:val="0"/>
          <w:bCs w:val="0"/>
          <w:sz w:val="24"/>
          <w:szCs w:val="24"/>
          <w:lang w:eastAsia="zh-CN"/>
        </w:rPr>
      </w:pPr>
      <w:r>
        <w:rPr>
          <w:rFonts w:hint="eastAsia" w:ascii="宋体" w:hAnsi="宋体" w:eastAsia="宋体" w:cs="宋体"/>
          <w:b w:val="0"/>
          <w:bCs w:val="0"/>
          <w:sz w:val="24"/>
          <w:szCs w:val="24"/>
          <w:lang w:eastAsia="zh-CN"/>
        </w:rPr>
        <w:t>3.加热管末夹子：贰套</w:t>
      </w:r>
    </w:p>
    <w:p>
      <w:pPr>
        <w:spacing w:line="360" w:lineRule="auto"/>
        <w:rPr>
          <w:rFonts w:hint="eastAsia" w:ascii="宋体" w:hAnsi="宋体" w:eastAsia="宋体" w:cs="宋体"/>
          <w:b/>
          <w:bCs/>
          <w:sz w:val="24"/>
          <w:szCs w:val="24"/>
          <w:lang w:eastAsia="zh-CN"/>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lang w:eastAsia="zh-CN"/>
        </w:rPr>
        <w:t>需提供响应技术参数条款的注册检验报告或相关资料（完整版），并对响应技术参数部分做出明显标注；</w:t>
      </w:r>
    </w:p>
    <w:p>
      <w:pPr>
        <w:spacing w:line="360" w:lineRule="auto"/>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2、需提供响应技术参数条款的技术白皮书和彩页等相关文件，并对响应技术参数部分做出明显标注；</w:t>
      </w:r>
    </w:p>
    <w:p>
      <w:pPr>
        <w:spacing w:line="360" w:lineRule="auto"/>
        <w:rPr>
          <w:rFonts w:hint="eastAsia"/>
          <w:b/>
          <w:bCs/>
          <w:lang w:val="en-US" w:eastAsia="zh-CN"/>
        </w:rPr>
      </w:pPr>
      <w:r>
        <w:rPr>
          <w:rFonts w:hint="eastAsia" w:ascii="宋体" w:hAnsi="宋体" w:eastAsia="宋体" w:cs="宋体"/>
          <w:b/>
          <w:bCs/>
          <w:sz w:val="24"/>
          <w:szCs w:val="24"/>
          <w:lang w:eastAsia="zh-CN"/>
        </w:rPr>
        <w:t>3、注册证中有附件的提供完整版的附件。</w:t>
      </w:r>
    </w:p>
    <w:bookmarkEnd w:id="35"/>
    <w:bookmarkEnd w:id="36"/>
    <w:p>
      <w:pPr>
        <w:snapToGrid w:val="0"/>
        <w:spacing w:line="360" w:lineRule="auto"/>
        <w:jc w:val="center"/>
        <w:rPr>
          <w:b/>
          <w:bCs/>
          <w:color w:val="auto"/>
          <w:sz w:val="30"/>
          <w:szCs w:val="30"/>
          <w:highlight w:val="none"/>
        </w:rPr>
      </w:pPr>
      <w:r>
        <w:rPr>
          <w:rFonts w:hint="eastAsia"/>
          <w:b/>
          <w:bCs/>
          <w:color w:val="auto"/>
          <w:sz w:val="30"/>
          <w:szCs w:val="30"/>
          <w:highlight w:val="none"/>
        </w:rPr>
        <w:t>商务要求</w:t>
      </w:r>
    </w:p>
    <w:tbl>
      <w:tblPr>
        <w:tblStyle w:val="32"/>
        <w:tblpPr w:leftFromText="180" w:rightFromText="180" w:vertAnchor="text" w:tblpXSpec="center" w:tblpY="1"/>
        <w:tblOverlap w:val="never"/>
        <w:tblW w:w="907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655"/>
        <w:gridCol w:w="642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9" w:hRule="atLeast"/>
          <w:jc w:val="center"/>
        </w:trPr>
        <w:tc>
          <w:tcPr>
            <w:tcW w:w="2655"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合同签订时间</w:t>
            </w:r>
          </w:p>
        </w:tc>
        <w:tc>
          <w:tcPr>
            <w:tcW w:w="6424"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 w:val="24"/>
                <w:szCs w:val="24"/>
                <w:highlight w:val="none"/>
              </w:rPr>
            </w:pPr>
            <w:r>
              <w:rPr>
                <w:rFonts w:hint="eastAsia" w:ascii="宋体" w:hAnsi="宋体" w:cs="宋体"/>
                <w:color w:val="auto"/>
                <w:kern w:val="0"/>
                <w:sz w:val="24"/>
                <w:szCs w:val="24"/>
                <w:highlight w:val="none"/>
              </w:rPr>
              <w:t>自中标通知书发出之日起</w:t>
            </w:r>
            <w:r>
              <w:rPr>
                <w:rFonts w:hint="eastAsia" w:ascii="宋体" w:hAnsi="宋体" w:cs="宋体"/>
                <w:color w:val="auto"/>
                <w:kern w:val="0"/>
                <w:sz w:val="24"/>
                <w:szCs w:val="24"/>
                <w:highlight w:val="none"/>
                <w:lang w:val="en-US" w:eastAsia="zh-CN"/>
              </w:rPr>
              <w:t>三十</w:t>
            </w:r>
            <w:r>
              <w:rPr>
                <w:rFonts w:hint="eastAsia" w:ascii="宋体" w:hAnsi="宋体" w:cs="宋体"/>
                <w:color w:val="auto"/>
                <w:kern w:val="0"/>
                <w:sz w:val="24"/>
                <w:szCs w:val="24"/>
                <w:highlight w:val="none"/>
              </w:rPr>
              <w:t>个</w:t>
            </w:r>
            <w:r>
              <w:rPr>
                <w:rFonts w:hint="eastAsia" w:ascii="宋体" w:hAnsi="宋体" w:cs="宋体"/>
                <w:color w:val="auto"/>
                <w:kern w:val="0"/>
                <w:sz w:val="24"/>
                <w:szCs w:val="24"/>
                <w:highlight w:val="none"/>
                <w:lang w:val="en-US" w:eastAsia="zh-CN"/>
              </w:rPr>
              <w:t>日历日</w:t>
            </w:r>
            <w:r>
              <w:rPr>
                <w:rFonts w:hint="eastAsia" w:ascii="宋体" w:hAnsi="宋体" w:cs="宋体"/>
                <w:color w:val="auto"/>
                <w:kern w:val="0"/>
                <w:sz w:val="24"/>
                <w:szCs w:val="24"/>
                <w:highlight w:val="none"/>
              </w:rPr>
              <w:t>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2" w:hRule="atLeast"/>
          <w:jc w:val="center"/>
        </w:trPr>
        <w:tc>
          <w:tcPr>
            <w:tcW w:w="2655"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交货地点</w:t>
            </w:r>
          </w:p>
        </w:tc>
        <w:tc>
          <w:tcPr>
            <w:tcW w:w="6424"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sz w:val="24"/>
                <w:szCs w:val="32"/>
                <w:lang w:val="en-US" w:eastAsia="zh-CN"/>
              </w:rPr>
              <w:t>采购人指定地点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4" w:hRule="atLeast"/>
          <w:jc w:val="center"/>
        </w:trPr>
        <w:tc>
          <w:tcPr>
            <w:tcW w:w="2655"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验   收</w:t>
            </w:r>
          </w:p>
        </w:tc>
        <w:tc>
          <w:tcPr>
            <w:tcW w:w="6424"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 w:val="24"/>
                <w:szCs w:val="24"/>
                <w:highlight w:val="none"/>
              </w:rPr>
            </w:pPr>
            <w:r>
              <w:rPr>
                <w:rFonts w:hint="eastAsia" w:ascii="宋体" w:hAnsi="宋体" w:cs="宋体"/>
                <w:color w:val="auto"/>
                <w:kern w:val="0"/>
                <w:sz w:val="24"/>
                <w:szCs w:val="24"/>
                <w:highlight w:val="none"/>
              </w:rPr>
              <w:t>由采购人按照有关规定组织验收。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2655"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质量要求</w:t>
            </w:r>
          </w:p>
        </w:tc>
        <w:tc>
          <w:tcPr>
            <w:tcW w:w="6424"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 w:val="24"/>
                <w:szCs w:val="24"/>
                <w:highlight w:val="none"/>
              </w:rPr>
            </w:pPr>
            <w:r>
              <w:rPr>
                <w:rFonts w:hint="eastAsia" w:ascii="宋体" w:hAnsi="宋体" w:cs="宋体"/>
                <w:color w:val="auto"/>
                <w:kern w:val="0"/>
                <w:sz w:val="24"/>
                <w:szCs w:val="24"/>
                <w:highlight w:val="none"/>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6" w:hRule="atLeast"/>
          <w:jc w:val="center"/>
        </w:trPr>
        <w:tc>
          <w:tcPr>
            <w:tcW w:w="2655"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ascii="宋体" w:hAnsi="宋体" w:cs="宋体"/>
                <w:color w:val="auto"/>
                <w:kern w:val="0"/>
                <w:sz w:val="24"/>
                <w:szCs w:val="24"/>
                <w:highlight w:val="none"/>
              </w:rPr>
            </w:pPr>
            <w:r>
              <w:rPr>
                <w:rFonts w:hint="eastAsia" w:ascii="宋体" w:hAnsi="宋体" w:cs="宋体"/>
                <w:color w:val="auto"/>
                <w:kern w:val="0"/>
                <w:sz w:val="24"/>
                <w:szCs w:val="24"/>
                <w:highlight w:val="none"/>
              </w:rPr>
              <w:t>付款方式</w:t>
            </w:r>
          </w:p>
        </w:tc>
        <w:tc>
          <w:tcPr>
            <w:tcW w:w="6424"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 w:val="24"/>
                <w:szCs w:val="24"/>
                <w:highlight w:val="none"/>
              </w:rPr>
            </w:pPr>
            <w:r>
              <w:rPr>
                <w:rFonts w:hint="eastAsia" w:ascii="宋体" w:hAnsi="宋体" w:cs="宋体"/>
                <w:color w:val="auto"/>
                <w:kern w:val="0"/>
                <w:sz w:val="24"/>
                <w:szCs w:val="24"/>
                <w:highlight w:val="none"/>
              </w:rPr>
              <w:t>以供货合同签订为准。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6" w:hRule="atLeast"/>
          <w:jc w:val="center"/>
        </w:trPr>
        <w:tc>
          <w:tcPr>
            <w:tcW w:w="2655"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jc w:val="center"/>
              <w:rPr>
                <w:rFonts w:hAnsi="宋体" w:cs="宋体"/>
                <w:color w:val="auto"/>
                <w:kern w:val="0"/>
                <w:sz w:val="24"/>
                <w:szCs w:val="24"/>
                <w:highlight w:val="none"/>
              </w:rPr>
            </w:pPr>
            <w:r>
              <w:rPr>
                <w:rFonts w:hint="eastAsia" w:ascii="宋体" w:hAnsi="宋体"/>
                <w:color w:val="auto"/>
                <w:kern w:val="0"/>
                <w:sz w:val="24"/>
                <w:szCs w:val="24"/>
                <w:highlight w:val="none"/>
              </w:rPr>
              <w:t>售后技术服务要求、售后服务保障要求</w:t>
            </w:r>
          </w:p>
        </w:tc>
        <w:tc>
          <w:tcPr>
            <w:tcW w:w="6424" w:type="dxa"/>
            <w:tcBorders>
              <w:top w:val="single" w:color="auto" w:sz="4" w:space="0"/>
              <w:left w:val="single" w:color="auto" w:sz="4" w:space="0"/>
              <w:bottom w:val="single" w:color="auto" w:sz="4" w:space="0"/>
              <w:right w:val="single" w:color="auto" w:sz="4" w:space="0"/>
            </w:tcBorders>
            <w:noWrap/>
            <w:vAlign w:val="center"/>
          </w:tcPr>
          <w:p>
            <w:pPr>
              <w:widowControl/>
              <w:snapToGrid w:val="0"/>
              <w:spacing w:line="360" w:lineRule="auto"/>
              <w:rPr>
                <w:rFonts w:ascii="宋体" w:hAnsi="宋体" w:cs="宋体"/>
                <w:color w:val="auto"/>
                <w:kern w:val="0"/>
                <w:sz w:val="24"/>
                <w:szCs w:val="24"/>
                <w:highlight w:val="none"/>
              </w:rPr>
            </w:pPr>
            <w:r>
              <w:rPr>
                <w:rFonts w:hint="eastAsia" w:ascii="宋体" w:hAnsi="宋体" w:cs="宋体"/>
                <w:color w:val="auto"/>
                <w:kern w:val="0"/>
                <w:sz w:val="24"/>
                <w:szCs w:val="24"/>
                <w:highlight w:val="none"/>
              </w:rPr>
              <w:t>中标人须提供后期服务保障和技术支持。</w:t>
            </w:r>
          </w:p>
        </w:tc>
      </w:tr>
    </w:tbl>
    <w:p>
      <w:pPr>
        <w:snapToGrid w:val="0"/>
        <w:spacing w:line="360" w:lineRule="auto"/>
        <w:jc w:val="center"/>
        <w:rPr>
          <w:b/>
          <w:bCs/>
          <w:color w:val="auto"/>
          <w:sz w:val="30"/>
          <w:szCs w:val="30"/>
          <w:highlight w:val="none"/>
        </w:rPr>
      </w:pPr>
      <w:r>
        <w:rPr>
          <w:rFonts w:hint="eastAsia"/>
          <w:b/>
          <w:bCs/>
          <w:color w:val="auto"/>
          <w:sz w:val="30"/>
          <w:szCs w:val="30"/>
          <w:highlight w:val="none"/>
        </w:rPr>
        <w:t xml:space="preserve"> 采购人对项目的特殊要求及说明</w:t>
      </w:r>
    </w:p>
    <w:tbl>
      <w:tblPr>
        <w:tblStyle w:val="32"/>
        <w:tblW w:w="9099"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28"/>
        <w:gridCol w:w="777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51" w:hRule="atLeast"/>
        </w:trPr>
        <w:tc>
          <w:tcPr>
            <w:tcW w:w="132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采购人的特殊要求及说明理由</w:t>
            </w:r>
          </w:p>
        </w:tc>
        <w:tc>
          <w:tcPr>
            <w:tcW w:w="7771" w:type="dxa"/>
            <w:tcBorders>
              <w:top w:val="single" w:color="auto" w:sz="4" w:space="0"/>
              <w:left w:val="single" w:color="auto" w:sz="4" w:space="0"/>
              <w:bottom w:val="single" w:color="auto" w:sz="4" w:space="0"/>
              <w:right w:val="single" w:color="auto" w:sz="4" w:space="0"/>
            </w:tcBorders>
            <w:vAlign w:val="center"/>
          </w:tcPr>
          <w:p>
            <w:pPr>
              <w:widowControl/>
              <w:numPr>
                <w:ilvl w:val="0"/>
                <w:numId w:val="2"/>
              </w:numPr>
              <w:snapToGrid w:val="0"/>
              <w:spacing w:line="360" w:lineRule="auto"/>
              <w:rPr>
                <w:rFonts w:hint="eastAsia" w:ascii="宋体" w:hAnsi="宋体" w:eastAsia="宋体" w:cs="宋体"/>
                <w:color w:val="auto"/>
                <w:sz w:val="24"/>
                <w:szCs w:val="32"/>
              </w:rPr>
            </w:pPr>
            <w:r>
              <w:rPr>
                <w:rFonts w:hint="eastAsia" w:ascii="宋体" w:hAnsi="宋体" w:eastAsia="宋体" w:cs="宋体"/>
                <w:color w:val="auto"/>
                <w:sz w:val="24"/>
                <w:szCs w:val="32"/>
              </w:rPr>
              <w:t>不接受联合体投标，不允许转包和分包。</w:t>
            </w:r>
          </w:p>
          <w:p>
            <w:pPr>
              <w:widowControl/>
              <w:snapToGrid w:val="0"/>
              <w:spacing w:line="360" w:lineRule="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32"/>
                <w:lang w:val="en-US" w:eastAsia="zh-CN"/>
              </w:rPr>
              <w:t>2</w:t>
            </w:r>
            <w:r>
              <w:rPr>
                <w:rFonts w:hint="eastAsia" w:ascii="宋体" w:hAnsi="宋体" w:eastAsia="宋体" w:cs="宋体"/>
                <w:color w:val="auto"/>
                <w:sz w:val="24"/>
                <w:szCs w:val="32"/>
              </w:rPr>
              <w:t>、</w:t>
            </w:r>
            <w:r>
              <w:rPr>
                <w:rFonts w:hint="eastAsia" w:ascii="宋体" w:hAnsi="宋体" w:eastAsia="宋体" w:cs="宋体"/>
                <w:color w:val="auto"/>
                <w:kern w:val="0"/>
                <w:sz w:val="24"/>
                <w:szCs w:val="24"/>
                <w:highlight w:val="none"/>
              </w:rPr>
              <w:t>授权评标委员会确定一名中标人并推荐两名中标候选人。</w:t>
            </w:r>
          </w:p>
          <w:p>
            <w:pPr>
              <w:widowControl/>
              <w:snapToGrid w:val="0"/>
              <w:spacing w:line="360" w:lineRule="auto"/>
              <w:rPr>
                <w:rFonts w:hint="eastAsia" w:ascii="宋体" w:hAnsi="宋体" w:eastAsia="宋体" w:cs="宋体"/>
                <w:color w:val="auto"/>
                <w:sz w:val="24"/>
                <w:szCs w:val="32"/>
              </w:rPr>
            </w:pPr>
            <w:r>
              <w:rPr>
                <w:rFonts w:hint="eastAsia" w:ascii="宋体" w:hAnsi="宋体" w:eastAsia="宋体" w:cs="宋体"/>
                <w:color w:val="auto"/>
                <w:sz w:val="24"/>
                <w:szCs w:val="32"/>
                <w:lang w:val="en-US" w:eastAsia="zh-CN"/>
              </w:rPr>
              <w:t>3</w:t>
            </w:r>
            <w:r>
              <w:rPr>
                <w:rFonts w:hint="eastAsia" w:ascii="宋体" w:hAnsi="宋体" w:eastAsia="宋体" w:cs="宋体"/>
                <w:color w:val="auto"/>
                <w:sz w:val="24"/>
                <w:szCs w:val="32"/>
              </w:rPr>
              <w:t>、供应商应根据</w:t>
            </w:r>
            <w:r>
              <w:rPr>
                <w:rFonts w:hint="eastAsia" w:ascii="宋体" w:hAnsi="宋体" w:eastAsia="宋体" w:cs="宋体"/>
                <w:color w:val="auto"/>
                <w:sz w:val="24"/>
                <w:szCs w:val="32"/>
                <w:lang w:eastAsia="zh-CN"/>
              </w:rPr>
              <w:t>采购</w:t>
            </w:r>
            <w:r>
              <w:rPr>
                <w:rFonts w:hint="eastAsia" w:ascii="宋体" w:hAnsi="宋体" w:eastAsia="宋体" w:cs="宋体"/>
                <w:color w:val="auto"/>
                <w:sz w:val="24"/>
                <w:szCs w:val="32"/>
              </w:rPr>
              <w:t>文件的要求提供技术响应表、商务响应表等内容以对</w:t>
            </w:r>
            <w:r>
              <w:rPr>
                <w:rFonts w:hint="eastAsia" w:ascii="宋体" w:hAnsi="宋体" w:eastAsia="宋体" w:cs="宋体"/>
                <w:color w:val="auto"/>
                <w:sz w:val="24"/>
                <w:szCs w:val="32"/>
                <w:lang w:eastAsia="zh-CN"/>
              </w:rPr>
              <w:t>采购</w:t>
            </w:r>
            <w:r>
              <w:rPr>
                <w:rFonts w:hint="eastAsia" w:ascii="宋体" w:hAnsi="宋体" w:eastAsia="宋体" w:cs="宋体"/>
                <w:color w:val="auto"/>
                <w:sz w:val="24"/>
                <w:szCs w:val="32"/>
              </w:rPr>
              <w:t>文件作出响应。</w:t>
            </w:r>
          </w:p>
        </w:tc>
      </w:tr>
    </w:tbl>
    <w:p>
      <w:pPr>
        <w:rPr>
          <w:color w:val="auto"/>
          <w:highlight w:val="none"/>
        </w:rPr>
      </w:pPr>
    </w:p>
    <w:p>
      <w:pPr>
        <w:rPr>
          <w:color w:val="auto"/>
          <w:highlight w:val="none"/>
        </w:rPr>
      </w:pPr>
    </w:p>
    <w:p>
      <w:pPr>
        <w:rPr>
          <w:color w:val="auto"/>
          <w:highlight w:val="none"/>
        </w:rPr>
      </w:pPr>
      <w:r>
        <w:rPr>
          <w:color w:val="auto"/>
          <w:sz w:val="32"/>
          <w:szCs w:val="32"/>
          <w:highlight w:val="none"/>
        </w:rPr>
        <w:br w:type="page"/>
      </w:r>
    </w:p>
    <w:p>
      <w:pPr>
        <w:pStyle w:val="3"/>
        <w:spacing w:before="0" w:after="0" w:line="240" w:lineRule="atLeast"/>
        <w:jc w:val="center"/>
        <w:rPr>
          <w:color w:val="auto"/>
          <w:sz w:val="32"/>
          <w:szCs w:val="32"/>
          <w:highlight w:val="none"/>
        </w:rPr>
      </w:pPr>
      <w:bookmarkStart w:id="40" w:name="_Toc12002"/>
      <w:r>
        <w:rPr>
          <w:rFonts w:hint="eastAsia"/>
          <w:color w:val="auto"/>
          <w:sz w:val="40"/>
          <w:szCs w:val="40"/>
          <w:highlight w:val="none"/>
        </w:rPr>
        <w:t>第三章  投标人须知</w:t>
      </w:r>
      <w:bookmarkEnd w:id="40"/>
    </w:p>
    <w:p>
      <w:pPr>
        <w:snapToGrid w:val="0"/>
        <w:spacing w:beforeLines="50" w:line="360" w:lineRule="auto"/>
        <w:jc w:val="center"/>
        <w:rPr>
          <w:rFonts w:ascii="宋体" w:hAnsi="宋体"/>
          <w:color w:val="auto"/>
          <w:sz w:val="28"/>
          <w:szCs w:val="28"/>
          <w:highlight w:val="none"/>
        </w:rPr>
      </w:pPr>
      <w:r>
        <w:rPr>
          <w:rFonts w:hint="eastAsia" w:ascii="宋体" w:hAnsi="宋体"/>
          <w:color w:val="auto"/>
          <w:sz w:val="28"/>
          <w:szCs w:val="28"/>
          <w:highlight w:val="none"/>
        </w:rPr>
        <w:t>投标人须知前附表</w:t>
      </w:r>
    </w:p>
    <w:tbl>
      <w:tblPr>
        <w:tblStyle w:val="32"/>
        <w:tblW w:w="9840" w:type="dxa"/>
        <w:jc w:val="center"/>
        <w:tblLayout w:type="fixed"/>
        <w:tblCellMar>
          <w:top w:w="0" w:type="dxa"/>
          <w:left w:w="0" w:type="dxa"/>
          <w:bottom w:w="0" w:type="dxa"/>
          <w:right w:w="0" w:type="dxa"/>
        </w:tblCellMar>
      </w:tblPr>
      <w:tblGrid>
        <w:gridCol w:w="926"/>
        <w:gridCol w:w="8914"/>
      </w:tblGrid>
      <w:tr>
        <w:tblPrEx>
          <w:tblCellMar>
            <w:top w:w="0" w:type="dxa"/>
            <w:left w:w="0" w:type="dxa"/>
            <w:bottom w:w="0" w:type="dxa"/>
            <w:right w:w="0" w:type="dxa"/>
          </w:tblCellMar>
        </w:tblPrEx>
        <w:trPr>
          <w:trHeight w:val="450" w:hRule="atLeast"/>
          <w:jc w:val="center"/>
        </w:trPr>
        <w:tc>
          <w:tcPr>
            <w:tcW w:w="926" w:type="dxa"/>
            <w:tcBorders>
              <w:top w:val="single" w:color="auto" w:sz="8"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序号</w:t>
            </w:r>
          </w:p>
        </w:tc>
        <w:tc>
          <w:tcPr>
            <w:tcW w:w="8914" w:type="dxa"/>
            <w:tcBorders>
              <w:top w:val="single" w:color="auto" w:sz="8"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内容、要求</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outlineLvl w:val="0"/>
              <w:rPr>
                <w:rFonts w:hint="eastAsia" w:ascii="宋体" w:hAnsi="宋体" w:eastAsia="宋体" w:cs="宋体"/>
                <w:color w:val="auto"/>
                <w:sz w:val="24"/>
                <w:szCs w:val="32"/>
                <w:lang w:eastAsia="zh-CN"/>
              </w:rPr>
            </w:pPr>
            <w:bookmarkStart w:id="41" w:name="_Toc10024"/>
            <w:r>
              <w:rPr>
                <w:rFonts w:hint="eastAsia" w:ascii="宋体" w:hAnsi="宋体" w:eastAsia="宋体" w:cs="宋体"/>
                <w:color w:val="auto"/>
                <w:sz w:val="24"/>
                <w:szCs w:val="32"/>
                <w:highlight w:val="none"/>
              </w:rPr>
              <w:t>1.1 项目名称：</w:t>
            </w:r>
            <w:bookmarkEnd w:id="41"/>
            <w:r>
              <w:rPr>
                <w:rFonts w:hint="eastAsia" w:ascii="宋体" w:hAnsi="宋体" w:cs="宋体"/>
                <w:color w:val="auto"/>
                <w:sz w:val="24"/>
                <w:szCs w:val="32"/>
                <w:highlight w:val="none"/>
                <w:lang w:eastAsia="zh-CN"/>
              </w:rPr>
              <w:t>驻马店市中心医院医用输血输液加温器采购项目</w:t>
            </w:r>
          </w:p>
          <w:p>
            <w:pPr>
              <w:widowControl/>
              <w:snapToGrid w:val="0"/>
              <w:spacing w:line="440" w:lineRule="exact"/>
              <w:jc w:val="left"/>
              <w:outlineLvl w:val="0"/>
              <w:rPr>
                <w:rFonts w:hint="eastAsia" w:ascii="宋体" w:hAnsi="宋体" w:eastAsia="宋体" w:cs="宋体"/>
                <w:color w:val="auto"/>
                <w:sz w:val="24"/>
                <w:szCs w:val="32"/>
                <w:highlight w:val="none"/>
              </w:rPr>
            </w:pPr>
            <w:bookmarkStart w:id="42" w:name="_Toc18520"/>
            <w:r>
              <w:rPr>
                <w:rFonts w:hint="eastAsia" w:ascii="宋体" w:hAnsi="宋体" w:eastAsia="宋体" w:cs="宋体"/>
                <w:color w:val="auto"/>
                <w:sz w:val="24"/>
                <w:szCs w:val="32"/>
                <w:highlight w:val="none"/>
              </w:rPr>
              <w:t>1.2 采购人名称：</w:t>
            </w:r>
            <w:r>
              <w:rPr>
                <w:rFonts w:hint="eastAsia" w:ascii="宋体" w:hAnsi="宋体" w:eastAsia="宋体" w:cs="宋体"/>
                <w:color w:val="auto"/>
                <w:sz w:val="24"/>
                <w:szCs w:val="32"/>
              </w:rPr>
              <w:t>驻马店市中心医院</w:t>
            </w:r>
            <w:bookmarkEnd w:id="42"/>
          </w:p>
          <w:p>
            <w:pPr>
              <w:widowControl/>
              <w:snapToGrid w:val="0"/>
              <w:spacing w:line="440" w:lineRule="exact"/>
              <w:jc w:val="left"/>
              <w:outlineLvl w:val="0"/>
              <w:rPr>
                <w:rFonts w:hint="eastAsia" w:ascii="宋体" w:hAnsi="宋体" w:eastAsia="宋体" w:cs="宋体"/>
                <w:color w:val="auto"/>
                <w:kern w:val="2"/>
                <w:sz w:val="24"/>
                <w:szCs w:val="32"/>
                <w:highlight w:val="none"/>
                <w:lang w:val="en-US" w:eastAsia="zh-CN" w:bidi="ar-SA"/>
              </w:rPr>
            </w:pPr>
            <w:bookmarkStart w:id="43" w:name="_Toc2100"/>
            <w:r>
              <w:rPr>
                <w:rFonts w:hint="eastAsia" w:ascii="宋体" w:hAnsi="宋体" w:eastAsia="宋体" w:cs="宋体"/>
                <w:color w:val="auto"/>
                <w:sz w:val="24"/>
                <w:szCs w:val="32"/>
                <w:highlight w:val="none"/>
              </w:rPr>
              <w:t>1.</w:t>
            </w:r>
            <w:r>
              <w:rPr>
                <w:rFonts w:hint="eastAsia" w:ascii="宋体" w:hAnsi="宋体" w:eastAsia="宋体" w:cs="宋体"/>
                <w:color w:val="auto"/>
                <w:sz w:val="24"/>
                <w:szCs w:val="32"/>
                <w:highlight w:val="none"/>
                <w:lang w:val="en-US" w:eastAsia="zh-CN"/>
              </w:rPr>
              <w:t>3</w:t>
            </w:r>
            <w:r>
              <w:rPr>
                <w:rFonts w:hint="eastAsia" w:ascii="宋体" w:hAnsi="宋体" w:eastAsia="宋体" w:cs="宋体"/>
                <w:color w:val="auto"/>
                <w:sz w:val="24"/>
                <w:szCs w:val="32"/>
                <w:highlight w:val="none"/>
              </w:rPr>
              <w:t>采购范围：详</w:t>
            </w:r>
            <w:r>
              <w:rPr>
                <w:rFonts w:hint="eastAsia" w:ascii="宋体" w:hAnsi="宋体" w:eastAsia="宋体" w:cs="宋体"/>
                <w:color w:val="auto"/>
                <w:sz w:val="24"/>
                <w:szCs w:val="32"/>
                <w:highlight w:val="none"/>
                <w:lang w:val="en-US" w:eastAsia="zh-CN"/>
              </w:rPr>
              <w:t>见第二章采购</w:t>
            </w:r>
            <w:r>
              <w:rPr>
                <w:rFonts w:hint="eastAsia" w:ascii="宋体" w:hAnsi="宋体" w:eastAsia="宋体" w:cs="宋体"/>
                <w:color w:val="auto"/>
                <w:sz w:val="24"/>
                <w:szCs w:val="32"/>
                <w:highlight w:val="none"/>
              </w:rPr>
              <w:t>需求</w:t>
            </w:r>
            <w:bookmarkEnd w:id="43"/>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合格投标人：具备</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公告第二项规定的条件。</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采购预算（最高投标限价）：</w:t>
            </w:r>
            <w:r>
              <w:rPr>
                <w:rFonts w:hint="eastAsia" w:ascii="宋体" w:hAnsi="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lang w:val="en-US" w:eastAsia="zh-CN"/>
              </w:rPr>
              <w:t>万</w:t>
            </w:r>
            <w:r>
              <w:rPr>
                <w:rFonts w:hint="eastAsia" w:ascii="宋体" w:hAnsi="宋体" w:eastAsia="宋体" w:cs="宋体"/>
                <w:color w:val="auto"/>
                <w:kern w:val="0"/>
                <w:sz w:val="24"/>
                <w:szCs w:val="24"/>
                <w:highlight w:val="none"/>
              </w:rPr>
              <w:t>元</w:t>
            </w:r>
          </w:p>
          <w:p>
            <w:pPr>
              <w:widowControl/>
              <w:snapToGrid w:val="0"/>
              <w:spacing w:line="44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3.1 本项目投标以人民币报价。</w:t>
            </w:r>
          </w:p>
          <w:p>
            <w:pPr>
              <w:widowControl/>
              <w:snapToGrid w:val="0"/>
              <w:spacing w:line="44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3.2 供应商的报价超过采购预算，采购人不能支付的，按废标处理。</w:t>
            </w:r>
          </w:p>
          <w:p>
            <w:pPr>
              <w:widowControl/>
              <w:snapToGrid w:val="0"/>
              <w:spacing w:line="44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3.3 本项目</w:t>
            </w:r>
            <w:r>
              <w:rPr>
                <w:rFonts w:hint="eastAsia" w:ascii="宋体" w:hAnsi="宋体" w:eastAsia="宋体" w:cs="宋体"/>
                <w:color w:val="auto"/>
                <w:kern w:val="0"/>
                <w:sz w:val="24"/>
                <w:szCs w:val="24"/>
                <w:highlight w:val="none"/>
                <w:lang w:val="en-US" w:eastAsia="zh-CN"/>
              </w:rPr>
              <w:t>由成交供应商缴纳</w:t>
            </w:r>
            <w:r>
              <w:rPr>
                <w:rFonts w:hint="eastAsia" w:ascii="宋体" w:hAnsi="宋体" w:eastAsia="宋体" w:cs="宋体"/>
                <w:color w:val="auto"/>
                <w:kern w:val="0"/>
                <w:sz w:val="24"/>
                <w:szCs w:val="24"/>
                <w:highlight w:val="none"/>
              </w:rPr>
              <w:t>招标代理服务费。</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现场踏勘或标前答疑：本项目不组织现场踏勘或标前答疑会。</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eastAsia="宋体" w:cs="宋体"/>
                <w:color w:val="auto"/>
                <w:sz w:val="24"/>
                <w:szCs w:val="32"/>
              </w:rPr>
            </w:pPr>
            <w:r>
              <w:rPr>
                <w:rFonts w:hint="eastAsia" w:ascii="宋体" w:hAnsi="宋体" w:eastAsia="宋体" w:cs="宋体"/>
                <w:color w:val="auto"/>
                <w:sz w:val="24"/>
                <w:szCs w:val="32"/>
              </w:rPr>
              <w:t>投标文件组成：纸质投标文件正本1份</w:t>
            </w:r>
            <w:r>
              <w:rPr>
                <w:rFonts w:hint="eastAsia" w:ascii="宋体" w:hAnsi="宋体" w:eastAsia="宋体" w:cs="宋体"/>
                <w:color w:val="auto"/>
                <w:sz w:val="24"/>
                <w:szCs w:val="32"/>
                <w:lang w:eastAsia="zh-CN"/>
              </w:rPr>
              <w:t>、</w:t>
            </w:r>
            <w:r>
              <w:rPr>
                <w:rFonts w:hint="eastAsia" w:ascii="宋体" w:hAnsi="宋体" w:eastAsia="宋体" w:cs="宋体"/>
                <w:color w:val="auto"/>
                <w:sz w:val="24"/>
                <w:szCs w:val="32"/>
                <w:lang w:val="en-US" w:eastAsia="zh-CN"/>
              </w:rPr>
              <w:t>副本2份</w:t>
            </w:r>
            <w:r>
              <w:rPr>
                <w:rFonts w:hint="eastAsia" w:ascii="宋体" w:hAnsi="宋体" w:eastAsia="宋体" w:cs="宋体"/>
                <w:color w:val="auto"/>
                <w:sz w:val="24"/>
                <w:szCs w:val="32"/>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napToGrid w:val="0"/>
              <w:spacing w:line="44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投标截止时间</w:t>
            </w:r>
            <w:r>
              <w:rPr>
                <w:rFonts w:hint="eastAsia" w:ascii="宋体" w:hAnsi="宋体" w:eastAsia="宋体" w:cs="宋体"/>
                <w:color w:val="auto"/>
                <w:kern w:val="0"/>
                <w:sz w:val="24"/>
                <w:szCs w:val="24"/>
                <w:highlight w:val="none"/>
                <w:lang w:val="en-US" w:eastAsia="zh-CN"/>
              </w:rPr>
              <w:t>及开标时间</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szCs w:val="24"/>
                <w:highlight w:val="none"/>
                <w:lang w:val="en-US" w:eastAsia="zh-CN"/>
              </w:rPr>
              <w:t>另行通知</w:t>
            </w:r>
          </w:p>
          <w:p>
            <w:pPr>
              <w:widowControl/>
              <w:snapToGrid w:val="0"/>
              <w:spacing w:line="44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投标文件递交地点</w:t>
            </w:r>
            <w:r>
              <w:rPr>
                <w:rFonts w:hint="eastAsia" w:ascii="宋体" w:hAnsi="宋体" w:eastAsia="宋体" w:cs="宋体"/>
                <w:color w:val="auto"/>
                <w:kern w:val="0"/>
                <w:sz w:val="24"/>
                <w:szCs w:val="24"/>
                <w:highlight w:val="none"/>
                <w:lang w:val="en-US" w:eastAsia="zh-CN"/>
              </w:rPr>
              <w:t>及开标地点</w:t>
            </w:r>
            <w:r>
              <w:rPr>
                <w:rFonts w:hint="eastAsia" w:ascii="宋体" w:hAnsi="宋体" w:eastAsia="宋体" w:cs="宋体"/>
                <w:color w:val="auto"/>
                <w:kern w:val="0"/>
                <w:sz w:val="24"/>
                <w:szCs w:val="24"/>
                <w:highlight w:val="none"/>
              </w:rPr>
              <w:t>：</w:t>
            </w:r>
            <w:r>
              <w:rPr>
                <w:rFonts w:hint="eastAsia" w:ascii="宋体" w:hAnsi="宋体" w:eastAsia="宋体" w:cs="宋体"/>
                <w:color w:val="auto"/>
                <w:sz w:val="24"/>
                <w:szCs w:val="24"/>
                <w:highlight w:val="none"/>
                <w:lang w:val="en-US" w:eastAsia="zh-CN"/>
              </w:rPr>
              <w:t>另行通知</w:t>
            </w:r>
            <w:r>
              <w:rPr>
                <w:rFonts w:hint="eastAsia" w:ascii="宋体" w:hAnsi="宋体" w:eastAsia="宋体" w:cs="宋体"/>
                <w:color w:val="auto"/>
                <w:kern w:val="0"/>
                <w:sz w:val="24"/>
                <w:szCs w:val="24"/>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44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评审委员会成</w:t>
            </w:r>
            <w:r>
              <w:rPr>
                <w:rFonts w:hint="eastAsia" w:ascii="宋体" w:hAnsi="宋体" w:eastAsia="宋体" w:cs="宋体"/>
                <w:color w:val="auto"/>
                <w:kern w:val="0"/>
                <w:sz w:val="24"/>
                <w:szCs w:val="24"/>
                <w:highlight w:val="none"/>
              </w:rPr>
              <w:t>员：</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32"/>
                <w:highlight w:val="none"/>
              </w:rPr>
              <w:t>人</w:t>
            </w:r>
            <w:r>
              <w:rPr>
                <w:rFonts w:hint="eastAsia" w:ascii="宋体" w:hAnsi="宋体" w:eastAsia="宋体" w:cs="宋体"/>
                <w:color w:val="auto"/>
                <w:sz w:val="24"/>
                <w:szCs w:val="32"/>
                <w:highlight w:val="none"/>
                <w:lang w:val="en-US" w:eastAsia="zh-CN"/>
              </w:rPr>
              <w:t>及以上单数</w:t>
            </w:r>
            <w:r>
              <w:rPr>
                <w:rFonts w:hint="eastAsia" w:ascii="宋体" w:hAnsi="宋体" w:eastAsia="宋体" w:cs="宋体"/>
                <w:color w:val="auto"/>
                <w:kern w:val="0"/>
                <w:sz w:val="24"/>
                <w:szCs w:val="24"/>
                <w:highlight w:val="none"/>
              </w:rPr>
              <w:t>。</w:t>
            </w:r>
          </w:p>
          <w:p>
            <w:pPr>
              <w:widowControl/>
              <w:spacing w:line="440" w:lineRule="exact"/>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专家确定方式：</w:t>
            </w:r>
            <w:r>
              <w:rPr>
                <w:rFonts w:hint="eastAsia" w:ascii="宋体" w:hAnsi="宋体" w:eastAsia="宋体" w:cs="宋体"/>
                <w:color w:val="auto"/>
                <w:kern w:val="0"/>
                <w:sz w:val="24"/>
                <w:szCs w:val="24"/>
                <w:highlight w:val="none"/>
              </w:rPr>
              <w:t>由采购人</w:t>
            </w:r>
            <w:r>
              <w:rPr>
                <w:rFonts w:hint="eastAsia" w:ascii="宋体" w:hAnsi="宋体" w:eastAsia="宋体" w:cs="宋体"/>
                <w:color w:val="auto"/>
                <w:kern w:val="0"/>
                <w:sz w:val="24"/>
                <w:szCs w:val="24"/>
                <w:highlight w:val="none"/>
                <w:lang w:val="en-US" w:eastAsia="zh-CN"/>
              </w:rPr>
              <w:t>抽取相关的技术人员组成</w:t>
            </w:r>
            <w:r>
              <w:rPr>
                <w:rFonts w:hint="eastAsia" w:ascii="宋体" w:hAnsi="宋体" w:eastAsia="宋体" w:cs="宋体"/>
                <w:color w:val="auto"/>
                <w:kern w:val="0"/>
                <w:sz w:val="24"/>
                <w:szCs w:val="24"/>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24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8 </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240" w:lineRule="auto"/>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评标办法：</w:t>
            </w:r>
            <w:r>
              <w:rPr>
                <w:rFonts w:hint="eastAsia" w:ascii="宋体" w:hAnsi="宋体" w:eastAsia="宋体" w:cs="宋体"/>
                <w:color w:val="auto"/>
                <w:kern w:val="0"/>
                <w:sz w:val="24"/>
                <w:szCs w:val="24"/>
                <w:highlight w:val="none"/>
              </w:rPr>
              <w:t>本项目采用</w:t>
            </w:r>
            <w:r>
              <w:rPr>
                <w:rFonts w:hint="eastAsia" w:ascii="宋体" w:hAnsi="宋体" w:eastAsia="宋体" w:cs="宋体"/>
                <w:color w:val="auto"/>
                <w:sz w:val="24"/>
                <w:szCs w:val="24"/>
                <w:highlight w:val="none"/>
              </w:rPr>
              <w:t>综合评分法</w:t>
            </w:r>
            <w:r>
              <w:rPr>
                <w:rFonts w:hint="eastAsia" w:ascii="宋体" w:hAnsi="宋体" w:eastAsia="宋体" w:cs="宋体"/>
                <w:color w:val="auto"/>
                <w:kern w:val="0"/>
                <w:sz w:val="24"/>
                <w:szCs w:val="24"/>
                <w:highlight w:val="none"/>
              </w:rPr>
              <w:t>。</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中标公告及中标通知书：由采购人授权评标委员会确定一名中标人并推荐两名中标候选人。评审结束后</w:t>
            </w:r>
            <w:r>
              <w:rPr>
                <w:rFonts w:hint="eastAsia" w:ascii="宋体" w:hAnsi="宋体" w:eastAsia="宋体" w:cs="宋体"/>
                <w:color w:val="auto"/>
                <w:kern w:val="0"/>
                <w:sz w:val="24"/>
                <w:szCs w:val="24"/>
                <w:highlight w:val="none"/>
                <w:lang w:val="en-US" w:eastAsia="zh-CN"/>
              </w:rPr>
              <w:t>在</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lang w:val="en-US" w:eastAsia="zh-CN"/>
              </w:rPr>
              <w:t>驻马店市中心医院网</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rPr>
              <w:t>上发布中标公告，</w:t>
            </w:r>
            <w:r>
              <w:rPr>
                <w:rFonts w:hint="eastAsia" w:ascii="宋体" w:hAnsi="宋体" w:eastAsia="宋体" w:cs="宋体"/>
                <w:color w:val="auto"/>
                <w:kern w:val="0"/>
                <w:sz w:val="24"/>
                <w:szCs w:val="24"/>
                <w:highlight w:val="none"/>
                <w:lang w:val="en-US" w:eastAsia="zh-CN"/>
              </w:rPr>
              <w:t>公示期结束后</w:t>
            </w:r>
            <w:r>
              <w:rPr>
                <w:rFonts w:hint="eastAsia" w:ascii="宋体" w:hAnsi="宋体" w:eastAsia="宋体" w:cs="宋体"/>
                <w:color w:val="auto"/>
                <w:kern w:val="0"/>
                <w:sz w:val="24"/>
                <w:szCs w:val="24"/>
                <w:highlight w:val="none"/>
              </w:rPr>
              <w:t>向中标人发出中标通知书。</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签订合同：自中标通知书发出之日起</w:t>
            </w:r>
            <w:r>
              <w:rPr>
                <w:rFonts w:hint="eastAsia" w:ascii="宋体" w:hAnsi="宋体" w:eastAsia="宋体" w:cs="宋体"/>
                <w:color w:val="auto"/>
                <w:kern w:val="0"/>
                <w:sz w:val="24"/>
                <w:szCs w:val="24"/>
                <w:highlight w:val="none"/>
                <w:lang w:val="en-US" w:eastAsia="zh-CN"/>
              </w:rPr>
              <w:t>三十</w:t>
            </w:r>
            <w:r>
              <w:rPr>
                <w:rFonts w:hint="eastAsia" w:ascii="宋体" w:hAnsi="宋体" w:eastAsia="宋体" w:cs="宋体"/>
                <w:color w:val="auto"/>
                <w:kern w:val="0"/>
                <w:sz w:val="24"/>
                <w:szCs w:val="24"/>
                <w:highlight w:val="none"/>
              </w:rPr>
              <w:t>个</w:t>
            </w:r>
            <w:r>
              <w:rPr>
                <w:rFonts w:hint="eastAsia" w:ascii="宋体" w:hAnsi="宋体" w:eastAsia="宋体" w:cs="宋体"/>
                <w:color w:val="auto"/>
                <w:kern w:val="0"/>
                <w:sz w:val="24"/>
                <w:szCs w:val="24"/>
                <w:highlight w:val="none"/>
                <w:lang w:val="en-US" w:eastAsia="zh-CN"/>
              </w:rPr>
              <w:t>日历</w:t>
            </w:r>
            <w:r>
              <w:rPr>
                <w:rFonts w:hint="eastAsia" w:ascii="宋体" w:hAnsi="宋体" w:eastAsia="宋体" w:cs="宋体"/>
                <w:color w:val="auto"/>
                <w:kern w:val="0"/>
                <w:sz w:val="24"/>
                <w:szCs w:val="24"/>
                <w:highlight w:val="none"/>
              </w:rPr>
              <w:t>日内。</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11</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采购资金来源：自筹资金。</w:t>
            </w:r>
          </w:p>
        </w:tc>
      </w:tr>
      <w:tr>
        <w:tblPrEx>
          <w:tblCellMar>
            <w:top w:w="0" w:type="dxa"/>
            <w:left w:w="0" w:type="dxa"/>
            <w:bottom w:w="0" w:type="dxa"/>
            <w:right w:w="0" w:type="dxa"/>
          </w:tblCellMar>
        </w:tblPrEx>
        <w:trPr>
          <w:trHeight w:val="680"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付款方式：详见第二章</w:t>
            </w:r>
            <w:r>
              <w:rPr>
                <w:rFonts w:hint="eastAsia" w:ascii="宋体" w:hAnsi="宋体" w:eastAsia="宋体" w:cs="宋体"/>
                <w:color w:val="auto"/>
                <w:kern w:val="0"/>
                <w:sz w:val="24"/>
                <w:szCs w:val="24"/>
                <w:highlight w:val="none"/>
                <w:lang w:eastAsia="zh-CN"/>
              </w:rPr>
              <w:t>采购</w:t>
            </w:r>
            <w:r>
              <w:rPr>
                <w:rFonts w:hint="eastAsia" w:ascii="宋体" w:hAnsi="宋体" w:eastAsia="宋体" w:cs="宋体"/>
                <w:color w:val="auto"/>
                <w:kern w:val="0"/>
                <w:sz w:val="24"/>
                <w:szCs w:val="24"/>
                <w:highlight w:val="none"/>
              </w:rPr>
              <w:t>需求。</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440" w:lineRule="exact"/>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投标文件有效期：投标</w:t>
            </w:r>
            <w:r>
              <w:rPr>
                <w:rFonts w:hint="eastAsia" w:ascii="宋体" w:hAnsi="宋体" w:eastAsia="宋体" w:cs="宋体"/>
                <w:color w:val="auto"/>
                <w:kern w:val="0"/>
                <w:sz w:val="24"/>
                <w:szCs w:val="24"/>
                <w:highlight w:val="none"/>
                <w:lang w:val="en-US" w:eastAsia="zh-CN"/>
              </w:rPr>
              <w:t>文件递交</w:t>
            </w:r>
            <w:r>
              <w:rPr>
                <w:rFonts w:hint="eastAsia" w:ascii="宋体" w:hAnsi="宋体" w:eastAsia="宋体" w:cs="宋体"/>
                <w:color w:val="auto"/>
                <w:kern w:val="0"/>
                <w:sz w:val="24"/>
                <w:szCs w:val="24"/>
                <w:highlight w:val="none"/>
              </w:rPr>
              <w:t>截止期结束后</w:t>
            </w:r>
            <w:r>
              <w:rPr>
                <w:rFonts w:hint="eastAsia" w:ascii="宋体" w:hAnsi="宋体" w:eastAsia="宋体" w:cs="宋体"/>
                <w:color w:val="auto"/>
                <w:kern w:val="0"/>
                <w:sz w:val="24"/>
                <w:szCs w:val="24"/>
                <w:highlight w:val="none"/>
                <w:lang w:val="en-US" w:eastAsia="zh-CN"/>
              </w:rPr>
              <w:t>90</w:t>
            </w:r>
            <w:r>
              <w:rPr>
                <w:rFonts w:hint="eastAsia" w:ascii="宋体" w:hAnsi="宋体" w:eastAsia="宋体" w:cs="宋体"/>
                <w:color w:val="auto"/>
                <w:kern w:val="0"/>
                <w:sz w:val="24"/>
                <w:szCs w:val="24"/>
                <w:highlight w:val="none"/>
              </w:rPr>
              <w:t>日。中标人的投标文件是合同的组成部分,有效期至合同完全履行止。 </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供应商须提供信用中国网站、中国政府采购网网站查询的网页截图。</w:t>
            </w:r>
          </w:p>
        </w:tc>
      </w:tr>
      <w:tr>
        <w:tblPrEx>
          <w:tblCellMar>
            <w:top w:w="0" w:type="dxa"/>
            <w:left w:w="0" w:type="dxa"/>
            <w:bottom w:w="0" w:type="dxa"/>
            <w:right w:w="0" w:type="dxa"/>
          </w:tblCellMar>
        </w:tblPrEx>
        <w:trPr>
          <w:trHeight w:val="678"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lang w:val="en-US" w:eastAsia="zh-CN"/>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hint="eastAsia" w:ascii="宋体" w:hAnsi="宋体" w:eastAsia="宋体" w:cs="宋体"/>
                <w:color w:val="auto"/>
                <w:sz w:val="24"/>
                <w:szCs w:val="24"/>
                <w:highlight w:val="none"/>
              </w:rPr>
              <w:t>。</w:t>
            </w:r>
          </w:p>
        </w:tc>
      </w:tr>
      <w:tr>
        <w:tblPrEx>
          <w:tblCellMar>
            <w:top w:w="0" w:type="dxa"/>
            <w:left w:w="0" w:type="dxa"/>
            <w:bottom w:w="0" w:type="dxa"/>
            <w:right w:w="0" w:type="dxa"/>
          </w:tblCellMar>
        </w:tblPrEx>
        <w:trPr>
          <w:trHeight w:val="699"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napToGrid w:val="0"/>
              <w:spacing w:line="360" w:lineRule="auto"/>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16</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spacing w:line="360" w:lineRule="auto"/>
              <w:rPr>
                <w:rFonts w:hint="eastAsia" w:ascii="宋体" w:hAnsi="宋体" w:eastAsia="宋体" w:cs="宋体"/>
                <w:color w:val="auto"/>
                <w:kern w:val="0"/>
                <w:sz w:val="24"/>
                <w:szCs w:val="24"/>
                <w:highlight w:val="none"/>
              </w:rPr>
            </w:pPr>
            <w:r>
              <w:rPr>
                <w:rFonts w:hint="eastAsia" w:ascii="宋体" w:hAnsi="宋体" w:eastAsia="宋体" w:cs="宋体"/>
                <w:bCs/>
                <w:color w:val="auto"/>
                <w:kern w:val="0"/>
                <w:sz w:val="24"/>
                <w:szCs w:val="24"/>
                <w:highlight w:val="none"/>
              </w:rPr>
              <w:t>质疑和投诉：供应商认为</w:t>
            </w:r>
            <w:r>
              <w:rPr>
                <w:rFonts w:hint="eastAsia" w:ascii="宋体" w:hAnsi="宋体" w:eastAsia="宋体" w:cs="宋体"/>
                <w:bCs/>
                <w:color w:val="auto"/>
                <w:kern w:val="0"/>
                <w:sz w:val="24"/>
                <w:szCs w:val="24"/>
                <w:highlight w:val="none"/>
                <w:lang w:val="en-US" w:eastAsia="zh-CN"/>
              </w:rPr>
              <w:t>采购</w:t>
            </w:r>
            <w:r>
              <w:rPr>
                <w:rFonts w:hint="eastAsia" w:ascii="宋体" w:hAnsi="宋体" w:eastAsia="宋体" w:cs="宋体"/>
                <w:bCs/>
                <w:color w:val="auto"/>
                <w:kern w:val="0"/>
                <w:sz w:val="24"/>
                <w:szCs w:val="24"/>
                <w:highlight w:val="none"/>
              </w:rPr>
              <w:t>文件使自己的合法权益受到损害的，</w:t>
            </w:r>
            <w:r>
              <w:rPr>
                <w:rFonts w:hint="eastAsia" w:ascii="宋体" w:hAnsi="宋体" w:eastAsia="宋体" w:cs="宋体"/>
                <w:color w:val="auto"/>
                <w:kern w:val="0"/>
                <w:sz w:val="24"/>
                <w:szCs w:val="24"/>
                <w:highlight w:val="none"/>
              </w:rPr>
              <w:t>应当在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公告期限届满之日(或收到</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文件之日)起</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个工作日之内向</w:t>
            </w:r>
            <w:r>
              <w:rPr>
                <w:rFonts w:hint="eastAsia" w:ascii="宋体" w:hAnsi="宋体" w:eastAsia="宋体" w:cs="宋体"/>
                <w:bCs/>
                <w:color w:val="auto"/>
                <w:kern w:val="0"/>
                <w:sz w:val="24"/>
                <w:szCs w:val="24"/>
                <w:highlight w:val="none"/>
              </w:rPr>
              <w:t>采购人提出质疑；供应商认为</w:t>
            </w:r>
            <w:r>
              <w:rPr>
                <w:rFonts w:hint="eastAsia" w:ascii="宋体" w:hAnsi="宋体" w:eastAsia="宋体" w:cs="宋体"/>
                <w:bCs/>
                <w:color w:val="auto"/>
                <w:kern w:val="0"/>
                <w:sz w:val="24"/>
                <w:szCs w:val="24"/>
                <w:highlight w:val="none"/>
                <w:lang w:eastAsia="zh-CN"/>
              </w:rPr>
              <w:t>磋商</w:t>
            </w:r>
            <w:r>
              <w:rPr>
                <w:rFonts w:hint="eastAsia" w:ascii="宋体" w:hAnsi="宋体" w:eastAsia="宋体" w:cs="宋体"/>
                <w:bCs/>
                <w:color w:val="auto"/>
                <w:kern w:val="0"/>
                <w:sz w:val="24"/>
                <w:szCs w:val="24"/>
                <w:highlight w:val="none"/>
              </w:rPr>
              <w:t>过程和中标结果使自己的合法权益受到损害的，应当在知道或者应知其权益受到损害之日起</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个工作日内提出质疑。</w:t>
            </w:r>
            <w:r>
              <w:rPr>
                <w:rFonts w:hint="eastAsia" w:ascii="宋体" w:hAnsi="宋体" w:eastAsia="宋体" w:cs="宋体"/>
                <w:color w:val="auto"/>
                <w:kern w:val="0"/>
                <w:sz w:val="24"/>
                <w:szCs w:val="24"/>
                <w:highlight w:val="none"/>
              </w:rPr>
              <w:t>逾期不再受理,</w:t>
            </w:r>
            <w:r>
              <w:rPr>
                <w:rFonts w:hint="eastAsia" w:ascii="宋体" w:hAnsi="宋体" w:eastAsia="宋体" w:cs="宋体"/>
                <w:bCs/>
                <w:color w:val="auto"/>
                <w:kern w:val="0"/>
                <w:sz w:val="24"/>
                <w:szCs w:val="24"/>
                <w:highlight w:val="none"/>
              </w:rPr>
              <w:t>供应商在法定质疑期内应一次性提出针对同一采购环节的质疑</w:t>
            </w:r>
            <w:r>
              <w:rPr>
                <w:rFonts w:hint="eastAsia" w:ascii="宋体" w:hAnsi="宋体" w:eastAsia="宋体" w:cs="宋体"/>
                <w:bCs/>
                <w:color w:val="auto"/>
                <w:kern w:val="0"/>
                <w:sz w:val="24"/>
                <w:szCs w:val="24"/>
                <w:highlight w:val="none"/>
                <w:lang w:eastAsia="zh-CN"/>
              </w:rPr>
              <w:t>。</w:t>
            </w:r>
            <w:r>
              <w:rPr>
                <w:rFonts w:hint="eastAsia" w:ascii="宋体" w:hAnsi="宋体" w:eastAsia="宋体" w:cs="宋体"/>
                <w:color w:val="auto"/>
                <w:kern w:val="0"/>
                <w:sz w:val="24"/>
                <w:szCs w:val="24"/>
                <w:highlight w:val="none"/>
              </w:rPr>
              <w:t>供应商对</w:t>
            </w: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的质疑答复不满意,或</w:t>
            </w: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未在规定时间内作出答复的，可以在答复期满后15个工作日内向同级财政部门投诉。</w:t>
            </w:r>
          </w:p>
        </w:tc>
      </w:tr>
      <w:tr>
        <w:tblPrEx>
          <w:tblCellMar>
            <w:top w:w="0" w:type="dxa"/>
            <w:left w:w="0" w:type="dxa"/>
            <w:bottom w:w="0" w:type="dxa"/>
            <w:right w:w="0" w:type="dxa"/>
          </w:tblCellMar>
        </w:tblPrEx>
        <w:trPr>
          <w:trHeight w:val="851" w:hRule="atLeast"/>
          <w:jc w:val="center"/>
        </w:trPr>
        <w:tc>
          <w:tcPr>
            <w:tcW w:w="926" w:type="dxa"/>
            <w:tcBorders>
              <w:top w:val="single" w:color="auto" w:sz="4" w:space="0"/>
              <w:left w:val="single" w:color="auto" w:sz="8" w:space="0"/>
              <w:bottom w:val="single" w:color="auto" w:sz="4" w:space="0"/>
              <w:right w:val="single" w:color="auto" w:sz="4" w:space="0"/>
            </w:tcBorders>
            <w:noWrap/>
            <w:tcMar>
              <w:top w:w="0" w:type="dxa"/>
              <w:left w:w="108" w:type="dxa"/>
              <w:bottom w:w="0" w:type="dxa"/>
              <w:right w:w="108" w:type="dxa"/>
            </w:tcMar>
            <w:vAlign w:val="center"/>
          </w:tcPr>
          <w:p>
            <w:pPr>
              <w:widowControl/>
              <w:spacing w:line="460" w:lineRule="atLeast"/>
              <w:jc w:val="center"/>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w:t>
            </w:r>
          </w:p>
        </w:tc>
        <w:tc>
          <w:tcPr>
            <w:tcW w:w="8914" w:type="dxa"/>
            <w:tcBorders>
              <w:top w:val="single" w:color="auto" w:sz="4" w:space="0"/>
              <w:left w:val="single" w:color="auto" w:sz="4" w:space="0"/>
              <w:bottom w:val="single" w:color="auto" w:sz="4" w:space="0"/>
              <w:right w:val="single" w:color="auto" w:sz="8" w:space="0"/>
            </w:tcBorders>
            <w:noWrap/>
            <w:tcMar>
              <w:top w:w="0" w:type="dxa"/>
              <w:left w:w="108" w:type="dxa"/>
              <w:bottom w:w="0" w:type="dxa"/>
              <w:right w:w="108" w:type="dxa"/>
            </w:tcMar>
            <w:vAlign w:val="center"/>
          </w:tcPr>
          <w:p>
            <w:pPr>
              <w:widowControl/>
              <w:spacing w:line="360" w:lineRule="auto"/>
              <w:jc w:val="left"/>
              <w:textAlignment w:val="bottom"/>
              <w:rPr>
                <w:rFonts w:hint="eastAsia" w:ascii="宋体" w:hAnsi="宋体" w:eastAsia="宋体" w:cs="宋体"/>
                <w:color w:val="auto"/>
                <w:sz w:val="24"/>
                <w:szCs w:val="32"/>
                <w:highlight w:val="none"/>
              </w:rPr>
            </w:pPr>
            <w:r>
              <w:rPr>
                <w:rFonts w:hint="eastAsia" w:ascii="宋体" w:hAnsi="宋体" w:eastAsia="宋体" w:cs="宋体"/>
                <w:color w:val="auto"/>
                <w:sz w:val="24"/>
                <w:szCs w:val="32"/>
                <w:highlight w:val="none"/>
              </w:rPr>
              <w:t>解释：1、构成本</w:t>
            </w:r>
            <w:r>
              <w:rPr>
                <w:rFonts w:hint="eastAsia" w:ascii="宋体" w:hAnsi="宋体" w:eastAsia="宋体" w:cs="宋体"/>
                <w:color w:val="auto"/>
                <w:sz w:val="24"/>
                <w:szCs w:val="32"/>
                <w:highlight w:val="none"/>
                <w:lang w:val="en-US" w:eastAsia="zh-CN"/>
              </w:rPr>
              <w:t>采购</w:t>
            </w:r>
            <w:r>
              <w:rPr>
                <w:rFonts w:hint="eastAsia" w:ascii="宋体" w:hAnsi="宋体" w:eastAsia="宋体" w:cs="宋体"/>
                <w:color w:val="auto"/>
                <w:sz w:val="24"/>
                <w:szCs w:val="32"/>
                <w:highlight w:val="none"/>
              </w:rPr>
              <w:t>文件的各个组成文件应互为解释，互为说明；如有不明确或不一致，构成合同文件组成内容的，以合同文件约定内容为准；除</w:t>
            </w:r>
            <w:r>
              <w:rPr>
                <w:rFonts w:hint="eastAsia" w:ascii="宋体" w:hAnsi="宋体" w:eastAsia="宋体" w:cs="宋体"/>
                <w:color w:val="auto"/>
                <w:sz w:val="24"/>
                <w:szCs w:val="32"/>
                <w:highlight w:val="none"/>
                <w:lang w:val="en-US" w:eastAsia="zh-CN"/>
              </w:rPr>
              <w:t>采购</w:t>
            </w:r>
            <w:r>
              <w:rPr>
                <w:rFonts w:hint="eastAsia" w:ascii="宋体" w:hAnsi="宋体" w:eastAsia="宋体" w:cs="宋体"/>
                <w:color w:val="auto"/>
                <w:sz w:val="24"/>
                <w:szCs w:val="32"/>
                <w:highlight w:val="none"/>
              </w:rPr>
              <w:t>文件中有特殊规定外，仅适用于招标投标阶段的规定，按</w:t>
            </w:r>
            <w:r>
              <w:rPr>
                <w:rFonts w:hint="eastAsia" w:ascii="宋体" w:hAnsi="宋体" w:eastAsia="宋体" w:cs="宋体"/>
                <w:color w:val="auto"/>
                <w:sz w:val="24"/>
                <w:szCs w:val="32"/>
                <w:highlight w:val="none"/>
                <w:lang w:val="en-US" w:eastAsia="zh-CN"/>
              </w:rPr>
              <w:t>采购</w:t>
            </w:r>
            <w:r>
              <w:rPr>
                <w:rFonts w:hint="eastAsia" w:ascii="宋体" w:hAnsi="宋体" w:eastAsia="宋体" w:cs="宋体"/>
                <w:color w:val="auto"/>
                <w:sz w:val="24"/>
                <w:szCs w:val="32"/>
                <w:highlight w:val="none"/>
              </w:rPr>
              <w:t>公告、供应商须知、评标办法、投标文件格式的先后顺序解释；同一组成文件中就同一事项的规定或约定不一致的，以编排顺序在后者为准；当</w:t>
            </w:r>
            <w:r>
              <w:rPr>
                <w:rFonts w:hint="eastAsia" w:ascii="宋体" w:hAnsi="宋体" w:eastAsia="宋体" w:cs="宋体"/>
                <w:color w:val="auto"/>
                <w:sz w:val="24"/>
                <w:szCs w:val="32"/>
                <w:highlight w:val="none"/>
                <w:lang w:val="en-US" w:eastAsia="zh-CN"/>
              </w:rPr>
              <w:t>采购</w:t>
            </w:r>
            <w:r>
              <w:rPr>
                <w:rFonts w:hint="eastAsia" w:ascii="宋体" w:hAnsi="宋体" w:eastAsia="宋体" w:cs="宋体"/>
                <w:color w:val="auto"/>
                <w:sz w:val="24"/>
                <w:szCs w:val="32"/>
                <w:highlight w:val="none"/>
              </w:rPr>
              <w:t>文件与</w:t>
            </w:r>
            <w:r>
              <w:rPr>
                <w:rFonts w:hint="eastAsia" w:ascii="宋体" w:hAnsi="宋体" w:eastAsia="宋体" w:cs="宋体"/>
                <w:color w:val="auto"/>
                <w:sz w:val="24"/>
                <w:szCs w:val="32"/>
                <w:highlight w:val="none"/>
                <w:lang w:val="en-US" w:eastAsia="zh-CN"/>
              </w:rPr>
              <w:t>采购</w:t>
            </w:r>
            <w:r>
              <w:rPr>
                <w:rFonts w:hint="eastAsia" w:ascii="宋体" w:hAnsi="宋体" w:eastAsia="宋体" w:cs="宋体"/>
                <w:color w:val="auto"/>
                <w:sz w:val="24"/>
                <w:szCs w:val="32"/>
                <w:highlight w:val="none"/>
              </w:rPr>
              <w:t>文件的澄清、修改或补充通知就同一内容的表述不一致时，以最后发出的书面文件为准。合同文件约定或后者明显错误的除外。</w:t>
            </w:r>
          </w:p>
          <w:p>
            <w:pPr>
              <w:widowControl/>
              <w:spacing w:line="360" w:lineRule="auto"/>
              <w:jc w:val="left"/>
              <w:textAlignment w:val="bottom"/>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32"/>
                <w:highlight w:val="none"/>
              </w:rPr>
              <w:t>2、本</w:t>
            </w:r>
            <w:r>
              <w:rPr>
                <w:rFonts w:hint="eastAsia" w:ascii="宋体" w:hAnsi="宋体" w:eastAsia="宋体" w:cs="宋体"/>
                <w:color w:val="auto"/>
                <w:sz w:val="24"/>
                <w:szCs w:val="32"/>
                <w:highlight w:val="none"/>
                <w:lang w:val="en-US" w:eastAsia="zh-CN"/>
              </w:rPr>
              <w:t>采购</w:t>
            </w:r>
            <w:r>
              <w:rPr>
                <w:rFonts w:hint="eastAsia" w:ascii="宋体" w:hAnsi="宋体" w:eastAsia="宋体" w:cs="宋体"/>
                <w:color w:val="auto"/>
                <w:sz w:val="24"/>
                <w:szCs w:val="32"/>
                <w:highlight w:val="none"/>
              </w:rPr>
              <w:t>文件解释权归采购人。</w:t>
            </w:r>
          </w:p>
        </w:tc>
      </w:tr>
    </w:tbl>
    <w:p>
      <w:pPr>
        <w:rPr>
          <w:rFonts w:hint="eastAsia" w:ascii="宋体" w:hAnsi="宋体" w:eastAsia="宋体" w:cs="宋体"/>
          <w:color w:val="auto"/>
          <w:sz w:val="24"/>
          <w:szCs w:val="32"/>
          <w:highlight w:val="none"/>
        </w:rPr>
      </w:pP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32"/>
          <w:szCs w:val="32"/>
          <w:highlight w:val="none"/>
        </w:rPr>
      </w:pPr>
      <w:r>
        <w:rPr>
          <w:rFonts w:hint="eastAsia" w:ascii="宋体" w:hAnsi="宋体" w:eastAsia="宋体" w:cs="宋体"/>
          <w:b/>
          <w:bCs/>
          <w:color w:val="auto"/>
          <w:kern w:val="0"/>
          <w:sz w:val="32"/>
          <w:szCs w:val="32"/>
          <w:highlight w:val="none"/>
        </w:rPr>
        <w:t>一 、说 明</w:t>
      </w:r>
    </w:p>
    <w:p>
      <w:pPr>
        <w:keepNext w:val="0"/>
        <w:keepLines w:val="0"/>
        <w:pageBreakBefore w:val="0"/>
        <w:kinsoku/>
        <w:wordWrap/>
        <w:overflowPunct/>
        <w:topLinePunct w:val="0"/>
        <w:bidi w:val="0"/>
        <w:snapToGrid w:val="0"/>
        <w:spacing w:line="360" w:lineRule="auto"/>
        <w:rPr>
          <w:rFonts w:hint="eastAsia" w:ascii="宋体" w:hAnsi="宋体" w:eastAsia="宋体" w:cs="宋体"/>
          <w:color w:val="auto"/>
          <w:sz w:val="24"/>
          <w:szCs w:val="32"/>
          <w:highlight w:val="none"/>
        </w:rPr>
      </w:pP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1.适用范围</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本</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文件仅适用于</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公告中所叙述项目的货物采购。</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2.定义</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 “采购人”系指本次采购项目的业主方。</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2.2 “投标人”系指</w:t>
      </w:r>
      <w:r>
        <w:rPr>
          <w:rFonts w:hint="eastAsia" w:ascii="宋体" w:hAnsi="宋体" w:eastAsia="宋体" w:cs="宋体"/>
          <w:color w:val="auto"/>
          <w:kern w:val="0"/>
          <w:sz w:val="24"/>
          <w:szCs w:val="24"/>
          <w:highlight w:val="none"/>
          <w:lang w:val="en-US" w:eastAsia="zh-CN"/>
        </w:rPr>
        <w:t>领取</w:t>
      </w:r>
      <w:r>
        <w:rPr>
          <w:rFonts w:hint="eastAsia" w:ascii="宋体" w:hAnsi="宋体" w:eastAsia="宋体" w:cs="宋体"/>
          <w:color w:val="auto"/>
          <w:kern w:val="0"/>
          <w:sz w:val="24"/>
          <w:szCs w:val="24"/>
          <w:highlight w:val="none"/>
        </w:rPr>
        <w:t>了本</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文件，且已经提交本次投标文件的投标人。</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 “投标人代表”系指代表投标人参加本次</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活动的投标人的法定代表人或其委托代理人。</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2.4 “货物”系指投标人按</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文件规定向采购人提供的一切设备、机械、仪器仪表、备品备件、工具、手册及其它有关技术资料和材料。</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2.5 “相关服务”系指</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文件规定投标人须承担的与本次采购货物相关的安装、调试、技术协助、校准、培训以及其他类似的义务。。</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3.本次采购预算（最高限价）为</w:t>
      </w:r>
      <w:r>
        <w:rPr>
          <w:rFonts w:hint="eastAsia" w:ascii="宋体" w:hAnsi="宋体" w:cs="宋体"/>
          <w:b/>
          <w:bCs/>
          <w:color w:val="auto"/>
          <w:kern w:val="0"/>
          <w:sz w:val="24"/>
          <w:szCs w:val="24"/>
          <w:highlight w:val="none"/>
          <w:lang w:val="en-US" w:eastAsia="zh-CN"/>
        </w:rPr>
        <w:t>5</w:t>
      </w:r>
      <w:r>
        <w:rPr>
          <w:rFonts w:hint="eastAsia" w:ascii="宋体" w:hAnsi="宋体" w:eastAsia="宋体" w:cs="宋体"/>
          <w:b/>
          <w:bCs/>
          <w:color w:val="auto"/>
          <w:kern w:val="0"/>
          <w:sz w:val="24"/>
          <w:szCs w:val="24"/>
          <w:highlight w:val="none"/>
          <w:lang w:val="en-US" w:eastAsia="zh-CN"/>
        </w:rPr>
        <w:t>万</w:t>
      </w:r>
      <w:r>
        <w:rPr>
          <w:rFonts w:hint="eastAsia" w:ascii="宋体" w:hAnsi="宋体" w:eastAsia="宋体" w:cs="宋体"/>
          <w:b/>
          <w:bCs/>
          <w:color w:val="auto"/>
          <w:kern w:val="0"/>
          <w:sz w:val="24"/>
          <w:szCs w:val="24"/>
          <w:highlight w:val="none"/>
        </w:rPr>
        <w:t>元</w:t>
      </w:r>
      <w:r>
        <w:rPr>
          <w:rFonts w:hint="eastAsia" w:ascii="宋体" w:hAnsi="宋体" w:eastAsia="宋体" w:cs="宋体"/>
          <w:color w:val="auto"/>
          <w:kern w:val="0"/>
          <w:sz w:val="24"/>
          <w:szCs w:val="24"/>
          <w:highlight w:val="none"/>
        </w:rPr>
        <w:t>。</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sz w:val="24"/>
          <w:szCs w:val="24"/>
          <w:highlight w:val="none"/>
        </w:rPr>
      </w:pPr>
      <w:r>
        <w:rPr>
          <w:rFonts w:hint="eastAsia" w:ascii="宋体" w:hAnsi="宋体" w:eastAsia="宋体" w:cs="宋体"/>
          <w:b/>
          <w:bCs/>
          <w:color w:val="auto"/>
          <w:kern w:val="0"/>
          <w:sz w:val="24"/>
          <w:szCs w:val="24"/>
          <w:highlight w:val="none"/>
        </w:rPr>
        <w:t>4.投标人应提交的证明文件</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1供应商应为注册在中华人民共和国境内的，且具有独立承担民事责任能力，提供法人或者其他组织的营业执照等证明文件。单位负责人为同一人或者存在直接控股、管理关系的不同供应商，不得参加同一合同项下的投标。一经发现，将导致投标同时被拒绝。</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eastAsia="zh-CN"/>
        </w:rPr>
        <w:t>供应商应提供2021年度或2022年度经审计的财务报告或者其基本开户银行出具的资信证明；采购活动前近三个月内或上个季度的依法缴纳税收的凭据和缴纳社会保险的凭据；依法免税或不需要缴纳社会保障资金的供应商，应提供相应文件证明其依法免税或不需要缴纳社会保障资金。（新成立企业从成立之日起计算）</w:t>
      </w:r>
      <w:r>
        <w:rPr>
          <w:rFonts w:hint="eastAsia" w:ascii="宋体" w:hAnsi="宋体" w:eastAsia="宋体" w:cs="宋体"/>
          <w:color w:val="auto"/>
          <w:sz w:val="24"/>
          <w:szCs w:val="24"/>
          <w:highlight w:val="none"/>
        </w:rPr>
        <w:t>。</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3具有履行合同所必需的设备和专业技术能力（提供书面声明函）。</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4参加本采购活动前三年内，在经营活动中没有重大违法记录（提供书面声明函）。</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5符合法律、行政法规规定的其他条件。</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6供应商是生产厂家的须具有《医疗器械生产许可证》；供应商是代理商的须具有《医疗器械经营许可证》或《医疗器械经营备案凭证》</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b/>
          <w:bCs/>
          <w:color w:val="auto"/>
          <w:kern w:val="0"/>
          <w:sz w:val="24"/>
          <w:szCs w:val="24"/>
          <w:highlight w:val="none"/>
        </w:rPr>
      </w:pPr>
      <w:r>
        <w:rPr>
          <w:rFonts w:hint="eastAsia" w:ascii="宋体" w:hAnsi="宋体" w:eastAsia="宋体" w:cs="宋体"/>
          <w:color w:val="auto"/>
          <w:sz w:val="24"/>
          <w:szCs w:val="24"/>
          <w:highlight w:val="none"/>
          <w:lang w:val="en-US" w:eastAsia="zh-CN"/>
        </w:rPr>
        <w:t>4.</w:t>
      </w: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rPr>
        <w:t>根据《关于在政府采购活动中查询及使用信用记录有关问题的通知》（财库【2016】125号）的规定，对列入失信被执行人、重大税收违法失信主体、政府采购严重违法失信行为记录名单的供应商，拒绝参与本项目政府采购活动，参与采购的供应商应提供查询企业信用记录的网页打印页并加盖供应商公章，查询时间应在采购公告发布日期之后，【查询渠道：“信用中国”网站、中国政府采购网】。</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5.投标费用</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不论投标结果如何，投标人均应自行承担所有与投标有关的全部费用。</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6.联合体投标：本项目不接受联合体投标。</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7.关联企业投标</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7.1 本</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文件所称关联企业,是指存在关联关系的企业。“关联关系”的界定适用《中华人民共和国公司法》第二百一十六条、《中华人民共和国政府采购法实施条例》第十八条之规定。</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7.2 关联企业中, 同一个法定代表人的两个及两个以上法人，母公司、全资子公司及其控股公司，都不得同时投标。单位负责人为同一人或者存在直接控股、管理关系的不同供应商，不得参加同一合同项下的投标。一经发现，将导致投标同时被拒绝（提供加盖供应商公章的“国家企业信用信息公示系统”网站查询结果网页截图，须显示公司基本信息、主要人员信息、股东信息)。</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7.3 为采购项目提供整体设计、规范编制或者项目管理、监理、检测等服务的供应商，不得再参加该采购项目的投标活动。</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8.转包与分包</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8.1本项目不允许采取转包方式履行合同。</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8.2本项目不允许采取分包方式履行合同。</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9.特别说明：</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9.1 投标人投标所使用的资格、信誉、荣誉、业绩与企业认证必须为本法人所拥有。  </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9.2 投标人代表只能接受一个投标人的委托参加投标。</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9.3《政府采购法》第二十二条第五款“参加政府采购活动前三年内，在经营活动中没有重大违法记录”，“重大违法记录”包括投标人或者其法定代表人、董事、监事、高级管理人员因经营活动中的违法行为受到行政处罚，但警告和罚款额在人民币3万元以下的行政处罚除外；投标人或其法定代表人、董事、监事、高级管理人员因经营活动中的违法行为受到刑事处罚。</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9.4投标人在投标活动中提供虚假材料或从事其他违法活动的,其投标无效，由相关部门查处。</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10.质疑和投诉</w:t>
      </w:r>
    </w:p>
    <w:p>
      <w:pPr>
        <w:keepNext w:val="0"/>
        <w:keepLines w:val="0"/>
        <w:pageBreakBefore w:val="0"/>
        <w:widowControl/>
        <w:kinsoku/>
        <w:wordWrap/>
        <w:overflowPunct/>
        <w:topLinePunct w:val="0"/>
        <w:bidi w:val="0"/>
        <w:snapToGrid w:val="0"/>
        <w:spacing w:line="360" w:lineRule="auto"/>
        <w:ind w:firstLine="470" w:firstLineChars="196"/>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10.1 </w:t>
      </w:r>
      <w:r>
        <w:rPr>
          <w:rFonts w:hint="eastAsia" w:ascii="宋体" w:hAnsi="宋体" w:eastAsia="宋体" w:cs="宋体"/>
          <w:bCs/>
          <w:color w:val="auto"/>
          <w:kern w:val="0"/>
          <w:sz w:val="24"/>
          <w:szCs w:val="24"/>
          <w:highlight w:val="none"/>
        </w:rPr>
        <w:t>供应商认为</w:t>
      </w:r>
      <w:r>
        <w:rPr>
          <w:rFonts w:hint="eastAsia" w:ascii="宋体" w:hAnsi="宋体" w:eastAsia="宋体" w:cs="宋体"/>
          <w:bCs/>
          <w:color w:val="auto"/>
          <w:kern w:val="0"/>
          <w:sz w:val="24"/>
          <w:szCs w:val="24"/>
          <w:highlight w:val="none"/>
          <w:lang w:val="en-US" w:eastAsia="zh-CN"/>
        </w:rPr>
        <w:t>采购</w:t>
      </w:r>
      <w:r>
        <w:rPr>
          <w:rFonts w:hint="eastAsia" w:ascii="宋体" w:hAnsi="宋体" w:eastAsia="宋体" w:cs="宋体"/>
          <w:bCs/>
          <w:color w:val="auto"/>
          <w:kern w:val="0"/>
          <w:sz w:val="24"/>
          <w:szCs w:val="24"/>
          <w:highlight w:val="none"/>
        </w:rPr>
        <w:t>文件使自己的合法权益受到损害的，</w:t>
      </w:r>
      <w:r>
        <w:rPr>
          <w:rFonts w:hint="eastAsia" w:ascii="宋体" w:hAnsi="宋体" w:eastAsia="宋体" w:cs="宋体"/>
          <w:color w:val="auto"/>
          <w:kern w:val="0"/>
          <w:sz w:val="24"/>
          <w:szCs w:val="24"/>
          <w:highlight w:val="none"/>
        </w:rPr>
        <w:t>应当在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公告期限届满之日(或收到</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文件之日)起</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个工作日之内向</w:t>
      </w:r>
      <w:r>
        <w:rPr>
          <w:rFonts w:hint="eastAsia" w:ascii="宋体" w:hAnsi="宋体" w:eastAsia="宋体" w:cs="宋体"/>
          <w:bCs/>
          <w:color w:val="auto"/>
          <w:kern w:val="0"/>
          <w:sz w:val="24"/>
          <w:szCs w:val="24"/>
          <w:highlight w:val="none"/>
        </w:rPr>
        <w:t>采购人提出质疑；供应商认为</w:t>
      </w:r>
      <w:r>
        <w:rPr>
          <w:rFonts w:hint="eastAsia" w:ascii="宋体" w:hAnsi="宋体" w:eastAsia="宋体" w:cs="宋体"/>
          <w:bCs/>
          <w:color w:val="auto"/>
          <w:kern w:val="0"/>
          <w:sz w:val="24"/>
          <w:szCs w:val="24"/>
          <w:highlight w:val="none"/>
          <w:lang w:eastAsia="zh-CN"/>
        </w:rPr>
        <w:t>磋商</w:t>
      </w:r>
      <w:r>
        <w:rPr>
          <w:rFonts w:hint="eastAsia" w:ascii="宋体" w:hAnsi="宋体" w:eastAsia="宋体" w:cs="宋体"/>
          <w:bCs/>
          <w:color w:val="auto"/>
          <w:kern w:val="0"/>
          <w:sz w:val="24"/>
          <w:szCs w:val="24"/>
          <w:highlight w:val="none"/>
        </w:rPr>
        <w:t>过程和中标结果使自己的合法权益受到损害的，应当在知道或者应知其权益受到损害之日起</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个工作日内提出质疑。</w:t>
      </w:r>
      <w:r>
        <w:rPr>
          <w:rFonts w:hint="eastAsia" w:ascii="宋体" w:hAnsi="宋体" w:eastAsia="宋体" w:cs="宋体"/>
          <w:color w:val="auto"/>
          <w:kern w:val="0"/>
          <w:sz w:val="24"/>
          <w:szCs w:val="24"/>
          <w:highlight w:val="none"/>
        </w:rPr>
        <w:t>逾期不再受理,</w:t>
      </w:r>
      <w:r>
        <w:rPr>
          <w:rFonts w:hint="eastAsia" w:ascii="宋体" w:hAnsi="宋体" w:eastAsia="宋体" w:cs="宋体"/>
          <w:bCs/>
          <w:color w:val="auto"/>
          <w:kern w:val="0"/>
          <w:sz w:val="24"/>
          <w:szCs w:val="24"/>
          <w:highlight w:val="none"/>
        </w:rPr>
        <w:t>供应商在法定质疑期内应一次性提出针对同一采购环节的质疑。</w:t>
      </w:r>
      <w:r>
        <w:rPr>
          <w:rFonts w:hint="eastAsia" w:ascii="宋体" w:hAnsi="宋体" w:eastAsia="宋体" w:cs="宋体"/>
          <w:color w:val="auto"/>
          <w:kern w:val="0"/>
          <w:sz w:val="24"/>
          <w:szCs w:val="24"/>
          <w:highlight w:val="none"/>
        </w:rPr>
        <w:t>供应商对</w:t>
      </w: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的质疑答复不满意,或</w:t>
      </w: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未在规定时间内作出答复的，可以在答复期满后15个工作日内向</w:t>
      </w:r>
      <w:r>
        <w:rPr>
          <w:rFonts w:hint="eastAsia" w:ascii="宋体" w:hAnsi="宋体" w:eastAsia="宋体" w:cs="宋体"/>
          <w:color w:val="auto"/>
          <w:kern w:val="0"/>
          <w:sz w:val="24"/>
          <w:szCs w:val="24"/>
          <w:highlight w:val="none"/>
          <w:lang w:val="en-US" w:eastAsia="zh-CN"/>
        </w:rPr>
        <w:t>医院纪检</w:t>
      </w:r>
      <w:r>
        <w:rPr>
          <w:rFonts w:hint="eastAsia" w:ascii="宋体" w:hAnsi="宋体" w:eastAsia="宋体" w:cs="宋体"/>
          <w:color w:val="auto"/>
          <w:kern w:val="0"/>
          <w:sz w:val="24"/>
          <w:szCs w:val="24"/>
          <w:highlight w:val="none"/>
        </w:rPr>
        <w:t>部门投诉。</w:t>
      </w:r>
    </w:p>
    <w:p>
      <w:pPr>
        <w:keepNext w:val="0"/>
        <w:keepLines w:val="0"/>
        <w:pageBreakBefore w:val="0"/>
        <w:widowControl/>
        <w:shd w:val="clear" w:color="auto" w:fill="FFFFFF"/>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10.2 </w:t>
      </w:r>
      <w:r>
        <w:rPr>
          <w:rFonts w:hint="eastAsia" w:ascii="宋体" w:hAnsi="宋体" w:eastAsia="宋体" w:cs="宋体"/>
          <w:bCs/>
          <w:color w:val="auto"/>
          <w:kern w:val="0"/>
          <w:sz w:val="24"/>
          <w:szCs w:val="24"/>
          <w:highlight w:val="none"/>
        </w:rPr>
        <w:t>质疑、投诉应当采用书面形式，质疑书、投诉书均应明确阐述</w:t>
      </w:r>
      <w:r>
        <w:rPr>
          <w:rFonts w:hint="eastAsia" w:ascii="宋体" w:hAnsi="宋体" w:eastAsia="宋体" w:cs="宋体"/>
          <w:bCs/>
          <w:color w:val="auto"/>
          <w:kern w:val="0"/>
          <w:sz w:val="24"/>
          <w:szCs w:val="24"/>
          <w:highlight w:val="none"/>
          <w:lang w:val="en-US" w:eastAsia="zh-CN"/>
        </w:rPr>
        <w:t>采购</w:t>
      </w:r>
      <w:r>
        <w:rPr>
          <w:rFonts w:hint="eastAsia" w:ascii="宋体" w:hAnsi="宋体" w:eastAsia="宋体" w:cs="宋体"/>
          <w:bCs/>
          <w:color w:val="auto"/>
          <w:kern w:val="0"/>
          <w:sz w:val="24"/>
          <w:szCs w:val="24"/>
          <w:highlight w:val="none"/>
        </w:rPr>
        <w:t>文件、</w:t>
      </w:r>
      <w:r>
        <w:rPr>
          <w:rFonts w:hint="eastAsia" w:ascii="宋体" w:hAnsi="宋体" w:eastAsia="宋体" w:cs="宋体"/>
          <w:bCs/>
          <w:color w:val="auto"/>
          <w:kern w:val="0"/>
          <w:sz w:val="24"/>
          <w:szCs w:val="24"/>
          <w:highlight w:val="none"/>
          <w:lang w:eastAsia="zh-CN"/>
        </w:rPr>
        <w:t>磋商</w:t>
      </w:r>
      <w:r>
        <w:rPr>
          <w:rFonts w:hint="eastAsia" w:ascii="宋体" w:hAnsi="宋体" w:eastAsia="宋体" w:cs="宋体"/>
          <w:bCs/>
          <w:color w:val="auto"/>
          <w:kern w:val="0"/>
          <w:sz w:val="24"/>
          <w:szCs w:val="24"/>
          <w:highlight w:val="none"/>
        </w:rPr>
        <w:t>过程和中标结果中使自己合法权益受到损害的实质性内容，提供相关事实、依据和证据及其来源或线索，便于有关单位调查、答复和处理。</w:t>
      </w:r>
    </w:p>
    <w:p>
      <w:pPr>
        <w:keepNext w:val="0"/>
        <w:keepLines w:val="0"/>
        <w:pageBreakBefore w:val="0"/>
        <w:widowControl/>
        <w:kinsoku/>
        <w:wordWrap/>
        <w:overflowPunct/>
        <w:topLinePunct w:val="0"/>
        <w:bidi w:val="0"/>
        <w:snapToGrid w:val="0"/>
        <w:spacing w:line="360" w:lineRule="auto"/>
        <w:ind w:firstLine="42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11.投标人的风险</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32"/>
          <w:szCs w:val="32"/>
          <w:highlight w:val="none"/>
        </w:rPr>
      </w:pPr>
      <w:r>
        <w:rPr>
          <w:rFonts w:hint="eastAsia" w:ascii="宋体" w:hAnsi="宋体" w:eastAsia="宋体" w:cs="宋体"/>
          <w:color w:val="auto"/>
          <w:kern w:val="0"/>
          <w:sz w:val="24"/>
          <w:szCs w:val="24"/>
          <w:highlight w:val="none"/>
        </w:rPr>
        <w:t>投标人没有按照</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文件要求提供全部资料，或者投标人没有对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文件在各方面都作出实质性响应是投标人的风险，并可能导致其投标被拒绝。</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32"/>
          <w:szCs w:val="32"/>
          <w:highlight w:val="none"/>
        </w:rPr>
      </w:pPr>
      <w:r>
        <w:rPr>
          <w:rFonts w:hint="eastAsia" w:ascii="宋体" w:hAnsi="宋体" w:eastAsia="宋体" w:cs="宋体"/>
          <w:b/>
          <w:bCs/>
          <w:color w:val="auto"/>
          <w:kern w:val="0"/>
          <w:sz w:val="32"/>
          <w:szCs w:val="32"/>
          <w:highlight w:val="none"/>
        </w:rPr>
        <w:t>二、</w:t>
      </w:r>
      <w:r>
        <w:rPr>
          <w:rFonts w:hint="eastAsia" w:ascii="宋体" w:hAnsi="宋体" w:eastAsia="宋体" w:cs="宋体"/>
          <w:b/>
          <w:bCs/>
          <w:color w:val="auto"/>
          <w:kern w:val="0"/>
          <w:sz w:val="32"/>
          <w:szCs w:val="32"/>
          <w:highlight w:val="none"/>
          <w:lang w:val="en-US" w:eastAsia="zh-CN"/>
        </w:rPr>
        <w:t>采购</w:t>
      </w:r>
      <w:r>
        <w:rPr>
          <w:rFonts w:hint="eastAsia" w:ascii="宋体" w:hAnsi="宋体" w:eastAsia="宋体" w:cs="宋体"/>
          <w:b/>
          <w:bCs/>
          <w:color w:val="auto"/>
          <w:kern w:val="0"/>
          <w:sz w:val="32"/>
          <w:szCs w:val="32"/>
          <w:highlight w:val="none"/>
        </w:rPr>
        <w:t>文件</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12.</w:t>
      </w:r>
      <w:r>
        <w:rPr>
          <w:rFonts w:hint="eastAsia" w:ascii="宋体" w:hAnsi="宋体" w:eastAsia="宋体" w:cs="宋体"/>
          <w:b/>
          <w:bCs/>
          <w:color w:val="auto"/>
          <w:kern w:val="0"/>
          <w:sz w:val="24"/>
          <w:szCs w:val="24"/>
          <w:highlight w:val="none"/>
          <w:lang w:val="en-US" w:eastAsia="zh-CN"/>
        </w:rPr>
        <w:t>采购</w:t>
      </w:r>
      <w:r>
        <w:rPr>
          <w:rFonts w:hint="eastAsia" w:ascii="宋体" w:hAnsi="宋体" w:eastAsia="宋体" w:cs="宋体"/>
          <w:b/>
          <w:bCs/>
          <w:color w:val="auto"/>
          <w:kern w:val="0"/>
          <w:sz w:val="24"/>
          <w:szCs w:val="24"/>
          <w:highlight w:val="none"/>
        </w:rPr>
        <w:t>文件的构成。本</w:t>
      </w:r>
      <w:r>
        <w:rPr>
          <w:rFonts w:hint="eastAsia" w:ascii="宋体" w:hAnsi="宋体" w:eastAsia="宋体" w:cs="宋体"/>
          <w:b/>
          <w:bCs/>
          <w:color w:val="auto"/>
          <w:kern w:val="0"/>
          <w:sz w:val="24"/>
          <w:szCs w:val="24"/>
          <w:highlight w:val="none"/>
          <w:lang w:val="en-US" w:eastAsia="zh-CN"/>
        </w:rPr>
        <w:t>采购</w:t>
      </w:r>
      <w:r>
        <w:rPr>
          <w:rFonts w:hint="eastAsia" w:ascii="宋体" w:hAnsi="宋体" w:eastAsia="宋体" w:cs="宋体"/>
          <w:b/>
          <w:bCs/>
          <w:color w:val="auto"/>
          <w:kern w:val="0"/>
          <w:sz w:val="24"/>
          <w:szCs w:val="24"/>
          <w:highlight w:val="none"/>
        </w:rPr>
        <w:t>文件由以下部分组成：</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12.1 </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12.2 </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需求</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12.3 投标人须知</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12.4 评标办法</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12.5 合同主要条款</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12.6 投标文件格式</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13.</w:t>
      </w:r>
      <w:r>
        <w:rPr>
          <w:rFonts w:hint="eastAsia" w:ascii="宋体" w:hAnsi="宋体" w:eastAsia="宋体" w:cs="宋体"/>
          <w:b/>
          <w:bCs/>
          <w:color w:val="auto"/>
          <w:kern w:val="0"/>
          <w:sz w:val="24"/>
          <w:szCs w:val="24"/>
          <w:highlight w:val="none"/>
          <w:lang w:val="en-US" w:eastAsia="zh-CN"/>
        </w:rPr>
        <w:t>采购</w:t>
      </w:r>
      <w:r>
        <w:rPr>
          <w:rFonts w:hint="eastAsia" w:ascii="宋体" w:hAnsi="宋体" w:eastAsia="宋体" w:cs="宋体"/>
          <w:b/>
          <w:bCs/>
          <w:color w:val="auto"/>
          <w:kern w:val="0"/>
          <w:sz w:val="24"/>
          <w:szCs w:val="24"/>
          <w:highlight w:val="none"/>
        </w:rPr>
        <w:t>文件的澄清与修改</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13.1 </w:t>
      </w:r>
      <w:r>
        <w:rPr>
          <w:rFonts w:hint="eastAsia" w:ascii="宋体" w:hAnsi="宋体" w:eastAsia="宋体" w:cs="宋体"/>
          <w:color w:val="auto"/>
          <w:kern w:val="0"/>
          <w:sz w:val="24"/>
          <w:szCs w:val="24"/>
          <w:highlight w:val="none"/>
          <w:lang w:eastAsia="zh-CN"/>
        </w:rPr>
        <w:t>采购人</w:t>
      </w:r>
      <w:r>
        <w:rPr>
          <w:rFonts w:hint="eastAsia" w:ascii="宋体" w:hAnsi="宋体" w:eastAsia="宋体" w:cs="宋体"/>
          <w:color w:val="auto"/>
          <w:kern w:val="0"/>
          <w:sz w:val="24"/>
          <w:szCs w:val="24"/>
          <w:highlight w:val="none"/>
        </w:rPr>
        <w:t>对已发出的</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文件进行必要澄清、修改或补充的，应当在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文件要求提交投标文件截止时间</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日</w:t>
      </w:r>
      <w:r>
        <w:rPr>
          <w:rFonts w:hint="eastAsia" w:ascii="宋体" w:hAnsi="宋体" w:eastAsia="宋体" w:cs="宋体"/>
          <w:color w:val="auto"/>
          <w:kern w:val="0"/>
          <w:sz w:val="24"/>
          <w:szCs w:val="24"/>
          <w:highlight w:val="none"/>
        </w:rPr>
        <w:t>前，在</w:t>
      </w:r>
      <w:r>
        <w:rPr>
          <w:rFonts w:hint="eastAsia" w:ascii="宋体" w:hAnsi="宋体" w:eastAsia="宋体" w:cs="宋体"/>
          <w:color w:val="auto"/>
          <w:kern w:val="0"/>
          <w:sz w:val="24"/>
          <w:szCs w:val="24"/>
          <w:highlight w:val="none"/>
          <w:lang w:val="en-US" w:eastAsia="zh-CN"/>
        </w:rPr>
        <w:t>原采购公告发布</w:t>
      </w:r>
      <w:r>
        <w:rPr>
          <w:rFonts w:hint="eastAsia" w:ascii="宋体" w:hAnsi="宋体" w:eastAsia="宋体" w:cs="宋体"/>
          <w:color w:val="auto"/>
          <w:kern w:val="0"/>
          <w:sz w:val="24"/>
          <w:szCs w:val="24"/>
          <w:highlight w:val="none"/>
        </w:rPr>
        <w:t>相关媒体上发布更正公告或变更公告。</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文件公示期间对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文件进行的澄清、修改或补充不受上述限制。</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13.2 </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文件澄清、修改或补充的内容为</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文件的组成部分。</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13.3 </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文件的澄清、修改或补充都应以法定形式发布。采购人未对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文件进行的澄清、修改或补充无效，评标时不予认可。</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32"/>
          <w:szCs w:val="32"/>
          <w:highlight w:val="none"/>
        </w:rPr>
      </w:pPr>
      <w:r>
        <w:rPr>
          <w:rFonts w:hint="eastAsia" w:ascii="宋体" w:hAnsi="宋体" w:eastAsia="宋体" w:cs="宋体"/>
          <w:color w:val="auto"/>
          <w:kern w:val="0"/>
          <w:sz w:val="24"/>
          <w:szCs w:val="24"/>
          <w:highlight w:val="none"/>
        </w:rPr>
        <w:t>13.4 </w:t>
      </w: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可以视招标具体情况延长投标截止时间和开标时间，但至少应当在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文件要求提交投标文件的截止时间3</w:t>
      </w:r>
      <w:r>
        <w:rPr>
          <w:rFonts w:hint="eastAsia" w:ascii="宋体" w:hAnsi="宋体" w:eastAsia="宋体" w:cs="宋体"/>
          <w:bCs/>
          <w:color w:val="auto"/>
          <w:kern w:val="0"/>
          <w:sz w:val="24"/>
          <w:szCs w:val="24"/>
          <w:highlight w:val="none"/>
        </w:rPr>
        <w:t>日</w:t>
      </w:r>
      <w:r>
        <w:rPr>
          <w:rFonts w:hint="eastAsia" w:ascii="宋体" w:hAnsi="宋体" w:eastAsia="宋体" w:cs="宋体"/>
          <w:color w:val="auto"/>
          <w:kern w:val="0"/>
          <w:sz w:val="24"/>
          <w:szCs w:val="24"/>
          <w:highlight w:val="none"/>
        </w:rPr>
        <w:t>前，将变更时间</w:t>
      </w:r>
      <w:r>
        <w:rPr>
          <w:rFonts w:hint="eastAsia" w:ascii="宋体" w:hAnsi="宋体" w:eastAsia="宋体" w:cs="宋体"/>
          <w:color w:val="auto"/>
          <w:kern w:val="0"/>
          <w:sz w:val="24"/>
          <w:szCs w:val="24"/>
          <w:highlight w:val="none"/>
          <w:lang w:val="en-US" w:eastAsia="zh-CN"/>
        </w:rPr>
        <w:t>通知所有潜在投标人</w:t>
      </w:r>
      <w:r>
        <w:rPr>
          <w:rFonts w:hint="eastAsia" w:ascii="宋体" w:hAnsi="宋体" w:eastAsia="宋体" w:cs="宋体"/>
          <w:color w:val="auto"/>
          <w:kern w:val="0"/>
          <w:sz w:val="24"/>
          <w:szCs w:val="24"/>
          <w:highlight w:val="none"/>
        </w:rPr>
        <w:t>。</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32"/>
          <w:szCs w:val="32"/>
          <w:highlight w:val="none"/>
        </w:rPr>
      </w:pPr>
      <w:r>
        <w:rPr>
          <w:rFonts w:hint="eastAsia" w:ascii="宋体" w:hAnsi="宋体" w:eastAsia="宋体" w:cs="宋体"/>
          <w:b/>
          <w:bCs/>
          <w:color w:val="auto"/>
          <w:kern w:val="0"/>
          <w:sz w:val="32"/>
          <w:szCs w:val="32"/>
          <w:highlight w:val="none"/>
        </w:rPr>
        <w:t>三</w:t>
      </w:r>
      <w:r>
        <w:rPr>
          <w:rFonts w:hint="eastAsia" w:ascii="宋体" w:hAnsi="宋体" w:eastAsia="宋体" w:cs="宋体"/>
          <w:b/>
          <w:bCs/>
          <w:color w:val="auto"/>
          <w:kern w:val="0"/>
          <w:sz w:val="32"/>
          <w:szCs w:val="24"/>
          <w:highlight w:val="none"/>
        </w:rPr>
        <w:t>、</w:t>
      </w:r>
      <w:r>
        <w:rPr>
          <w:rFonts w:hint="eastAsia" w:ascii="宋体" w:hAnsi="宋体" w:eastAsia="宋体" w:cs="宋体"/>
          <w:b/>
          <w:bCs/>
          <w:color w:val="auto"/>
          <w:kern w:val="0"/>
          <w:sz w:val="32"/>
          <w:szCs w:val="32"/>
          <w:highlight w:val="none"/>
        </w:rPr>
        <w:t>投标文件的编制</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14.要求</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14.1 投标人应仔细阅读</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文件的所有内容，按照</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文件提供的格式编写投标文件，不得缺少或留空任何</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文件要求填写的表格或提交的资料。</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文件提供格式的按格式填列，未提供格式的可自行拟定。投标文件应对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文件的要求作出实质性响应（包括投标人资格要求、技术要求、商务要求和投标文件格式中对投标的要求），投标人对所提供的全部资料的合法性、真实性负责。</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14.2 投标人应完整签署投标文件格式附件中《投标书》和《抵制商业贿赂承诺》，不得增减或修改内容。否则视为对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文件未作出实质性响应。</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15.投标文件的语言和计量单位</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15.1投标文件以及投标人与采购人就有关投标事宜的所有来往函电均应使用简体中文书写。</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15.2 关于投标计量单位，</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文件已有明确规定的，使用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文件规定的计量单位；</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文件没有规定的，应采用中华人民共和国法定计量单位。否则视为对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文件未作出实质性响应。</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15.3 原版为外文的证书类文件，以及由外国人做出的本人签名、外国公司的名称或外国印章等可以是外文，但应当提供中文翻译文件并加盖投标人公章。必要时评标委员会可以要求投标人提供附有公证书的中文翻译文件或者与原版文件签章相一致的中文翻译文件。</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16.投标文件的组成</w:t>
      </w:r>
      <w:r>
        <w:rPr>
          <w:rFonts w:hint="eastAsia" w:ascii="宋体" w:hAnsi="宋体" w:eastAsia="宋体" w:cs="宋体"/>
          <w:color w:val="auto"/>
          <w:kern w:val="0"/>
          <w:sz w:val="24"/>
          <w:szCs w:val="24"/>
          <w:highlight w:val="none"/>
        </w:rPr>
        <w:t>。</w:t>
      </w:r>
      <w:r>
        <w:rPr>
          <w:rFonts w:hint="eastAsia" w:ascii="宋体" w:hAnsi="宋体" w:eastAsia="宋体" w:cs="宋体"/>
          <w:b/>
          <w:bCs/>
          <w:color w:val="auto"/>
          <w:kern w:val="0"/>
          <w:sz w:val="24"/>
          <w:szCs w:val="24"/>
          <w:highlight w:val="none"/>
        </w:rPr>
        <w:t>投标文件应包括下列部分：</w:t>
      </w:r>
    </w:p>
    <w:p>
      <w:pPr>
        <w:snapToGrid w:val="0"/>
        <w:spacing w:line="360" w:lineRule="auto"/>
        <w:ind w:firstLine="480" w:firstLineChars="200"/>
        <w:rPr>
          <w:color w:val="auto"/>
          <w:sz w:val="24"/>
          <w:highlight w:val="none"/>
        </w:rPr>
      </w:pPr>
      <w:r>
        <w:rPr>
          <w:rFonts w:hint="eastAsia" w:ascii="宋体" w:hAnsi="宋体" w:eastAsia="宋体" w:cs="宋体"/>
          <w:color w:val="auto"/>
          <w:kern w:val="0"/>
          <w:sz w:val="24"/>
          <w:szCs w:val="24"/>
          <w:highlight w:val="none"/>
        </w:rPr>
        <w:t>16.1、</w:t>
      </w:r>
      <w:r>
        <w:rPr>
          <w:rFonts w:hint="eastAsia"/>
          <w:color w:val="auto"/>
          <w:sz w:val="24"/>
          <w:highlight w:val="none"/>
        </w:rPr>
        <w:t>投标书</w:t>
      </w:r>
    </w:p>
    <w:p>
      <w:pPr>
        <w:snapToGrid w:val="0"/>
        <w:spacing w:line="360" w:lineRule="auto"/>
        <w:ind w:firstLine="480" w:firstLineChars="200"/>
        <w:rPr>
          <w:color w:val="auto"/>
          <w:sz w:val="24"/>
          <w:highlight w:val="none"/>
        </w:rPr>
      </w:pPr>
      <w:r>
        <w:rPr>
          <w:rFonts w:hint="eastAsia" w:ascii="宋体" w:hAnsi="宋体" w:eastAsia="宋体" w:cs="宋体"/>
          <w:color w:val="auto"/>
          <w:kern w:val="0"/>
          <w:sz w:val="24"/>
          <w:szCs w:val="24"/>
          <w:highlight w:val="none"/>
          <w:lang w:val="en-US" w:eastAsia="zh-CN"/>
        </w:rPr>
        <w:t>16.2、</w:t>
      </w:r>
      <w:r>
        <w:rPr>
          <w:rFonts w:hint="eastAsia"/>
          <w:color w:val="auto"/>
          <w:sz w:val="24"/>
          <w:highlight w:val="none"/>
        </w:rPr>
        <w:t>开标一览表</w:t>
      </w:r>
    </w:p>
    <w:p>
      <w:pPr>
        <w:snapToGrid w:val="0"/>
        <w:spacing w:line="360" w:lineRule="auto"/>
        <w:ind w:firstLine="480" w:firstLineChars="200"/>
        <w:rPr>
          <w:color w:val="auto"/>
          <w:sz w:val="24"/>
          <w:highlight w:val="none"/>
        </w:rPr>
      </w:pPr>
      <w:r>
        <w:rPr>
          <w:rFonts w:hint="eastAsia" w:ascii="宋体" w:hAnsi="宋体" w:eastAsia="宋体" w:cs="宋体"/>
          <w:color w:val="auto"/>
          <w:kern w:val="0"/>
          <w:sz w:val="24"/>
          <w:szCs w:val="24"/>
          <w:highlight w:val="none"/>
        </w:rPr>
        <w:t>16.</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w:t>
      </w:r>
      <w:r>
        <w:rPr>
          <w:rFonts w:hint="eastAsia"/>
          <w:color w:val="auto"/>
          <w:sz w:val="24"/>
          <w:highlight w:val="none"/>
        </w:rPr>
        <w:t>投标报价明细表</w:t>
      </w:r>
    </w:p>
    <w:p>
      <w:pPr>
        <w:snapToGrid w:val="0"/>
        <w:spacing w:line="360" w:lineRule="auto"/>
        <w:ind w:firstLine="480" w:firstLineChars="200"/>
        <w:rPr>
          <w:color w:val="auto"/>
          <w:sz w:val="24"/>
          <w:highlight w:val="none"/>
        </w:rPr>
      </w:pPr>
      <w:r>
        <w:rPr>
          <w:rFonts w:hint="eastAsia" w:ascii="宋体" w:hAnsi="宋体" w:eastAsia="宋体" w:cs="宋体"/>
          <w:color w:val="auto"/>
          <w:kern w:val="0"/>
          <w:sz w:val="24"/>
          <w:szCs w:val="24"/>
          <w:highlight w:val="none"/>
        </w:rPr>
        <w:t>16.</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w:t>
      </w:r>
      <w:r>
        <w:rPr>
          <w:rFonts w:hint="eastAsia"/>
          <w:color w:val="auto"/>
          <w:sz w:val="24"/>
          <w:highlight w:val="none"/>
        </w:rPr>
        <w:t>技术响应表</w:t>
      </w:r>
    </w:p>
    <w:p>
      <w:pPr>
        <w:snapToGrid w:val="0"/>
        <w:spacing w:line="360" w:lineRule="auto"/>
        <w:ind w:firstLine="480" w:firstLineChars="200"/>
        <w:rPr>
          <w:color w:val="auto"/>
          <w:sz w:val="24"/>
          <w:highlight w:val="none"/>
        </w:rPr>
      </w:pPr>
      <w:r>
        <w:rPr>
          <w:rFonts w:hint="eastAsia" w:ascii="宋体" w:hAnsi="宋体" w:eastAsia="宋体" w:cs="宋体"/>
          <w:color w:val="auto"/>
          <w:kern w:val="0"/>
          <w:sz w:val="24"/>
          <w:szCs w:val="24"/>
          <w:highlight w:val="none"/>
        </w:rPr>
        <w:t>16.</w:t>
      </w:r>
      <w:r>
        <w:rPr>
          <w:rFonts w:hint="eastAsia" w:ascii="宋体" w:hAnsi="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w:t>
      </w:r>
      <w:r>
        <w:rPr>
          <w:rFonts w:hint="eastAsia"/>
          <w:color w:val="auto"/>
          <w:sz w:val="24"/>
          <w:highlight w:val="none"/>
        </w:rPr>
        <w:t>商务响应表</w:t>
      </w:r>
    </w:p>
    <w:p>
      <w:pPr>
        <w:snapToGrid w:val="0"/>
        <w:spacing w:line="360" w:lineRule="auto"/>
        <w:ind w:firstLine="480" w:firstLineChars="200"/>
        <w:rPr>
          <w:color w:val="auto"/>
          <w:sz w:val="24"/>
          <w:highlight w:val="none"/>
        </w:rPr>
      </w:pPr>
      <w:r>
        <w:rPr>
          <w:rFonts w:hint="eastAsia" w:ascii="宋体" w:hAnsi="宋体" w:eastAsia="宋体" w:cs="宋体"/>
          <w:color w:val="auto"/>
          <w:kern w:val="0"/>
          <w:sz w:val="24"/>
          <w:szCs w:val="24"/>
          <w:highlight w:val="none"/>
        </w:rPr>
        <w:t>16.</w:t>
      </w:r>
      <w:r>
        <w:rPr>
          <w:rFonts w:hint="eastAsia" w:ascii="宋体" w:hAnsi="宋体" w:cs="宋体"/>
          <w:color w:val="auto"/>
          <w:kern w:val="0"/>
          <w:sz w:val="24"/>
          <w:szCs w:val="24"/>
          <w:highlight w:val="none"/>
          <w:lang w:val="en-US" w:eastAsia="zh-CN"/>
        </w:rPr>
        <w:t>6</w:t>
      </w:r>
      <w:r>
        <w:rPr>
          <w:rFonts w:hint="eastAsia" w:ascii="宋体" w:hAnsi="宋体" w:eastAsia="宋体" w:cs="宋体"/>
          <w:color w:val="auto"/>
          <w:kern w:val="0"/>
          <w:sz w:val="24"/>
          <w:szCs w:val="24"/>
          <w:highlight w:val="none"/>
        </w:rPr>
        <w:t>、</w:t>
      </w:r>
      <w:r>
        <w:rPr>
          <w:rFonts w:hint="eastAsia"/>
          <w:color w:val="auto"/>
          <w:sz w:val="24"/>
          <w:highlight w:val="none"/>
        </w:rPr>
        <w:t>法定代表人身份证明</w:t>
      </w:r>
    </w:p>
    <w:p>
      <w:pPr>
        <w:snapToGrid w:val="0"/>
        <w:spacing w:line="360" w:lineRule="auto"/>
        <w:ind w:firstLine="480" w:firstLineChars="200"/>
        <w:rPr>
          <w:color w:val="auto"/>
          <w:sz w:val="24"/>
          <w:highlight w:val="none"/>
        </w:rPr>
      </w:pPr>
      <w:r>
        <w:rPr>
          <w:rFonts w:hint="eastAsia" w:ascii="宋体" w:hAnsi="宋体" w:eastAsia="宋体" w:cs="宋体"/>
          <w:color w:val="auto"/>
          <w:kern w:val="0"/>
          <w:sz w:val="24"/>
          <w:szCs w:val="24"/>
          <w:highlight w:val="none"/>
        </w:rPr>
        <w:t>16.</w:t>
      </w:r>
      <w:r>
        <w:rPr>
          <w:rFonts w:hint="eastAsia" w:ascii="宋体" w:hAnsi="宋体" w:cs="宋体"/>
          <w:color w:val="auto"/>
          <w:kern w:val="0"/>
          <w:sz w:val="24"/>
          <w:szCs w:val="24"/>
          <w:highlight w:val="none"/>
          <w:lang w:val="en-US" w:eastAsia="zh-CN"/>
        </w:rPr>
        <w:t>7</w:t>
      </w:r>
      <w:r>
        <w:rPr>
          <w:rFonts w:hint="eastAsia" w:ascii="宋体" w:hAnsi="宋体" w:eastAsia="宋体" w:cs="宋体"/>
          <w:color w:val="auto"/>
          <w:kern w:val="0"/>
          <w:sz w:val="24"/>
          <w:szCs w:val="24"/>
          <w:highlight w:val="none"/>
        </w:rPr>
        <w:t>、</w:t>
      </w:r>
      <w:r>
        <w:rPr>
          <w:rFonts w:hint="eastAsia"/>
          <w:color w:val="auto"/>
          <w:sz w:val="24"/>
          <w:highlight w:val="none"/>
        </w:rPr>
        <w:t>法定代表人授权书</w:t>
      </w:r>
    </w:p>
    <w:p>
      <w:pPr>
        <w:snapToGrid w:val="0"/>
        <w:spacing w:line="360" w:lineRule="auto"/>
        <w:ind w:firstLine="480" w:firstLineChars="200"/>
        <w:rPr>
          <w:color w:val="auto"/>
          <w:sz w:val="24"/>
          <w:highlight w:val="none"/>
        </w:rPr>
      </w:pPr>
      <w:r>
        <w:rPr>
          <w:rFonts w:hint="eastAsia" w:ascii="宋体" w:hAnsi="宋体" w:eastAsia="宋体" w:cs="宋体"/>
          <w:color w:val="auto"/>
          <w:kern w:val="0"/>
          <w:sz w:val="24"/>
          <w:szCs w:val="24"/>
          <w:highlight w:val="none"/>
        </w:rPr>
        <w:t>16.</w:t>
      </w:r>
      <w:r>
        <w:rPr>
          <w:rFonts w:hint="eastAsia" w:ascii="宋体" w:hAnsi="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rPr>
        <w:t>、</w:t>
      </w:r>
      <w:r>
        <w:rPr>
          <w:rFonts w:hint="eastAsia"/>
          <w:color w:val="auto"/>
          <w:sz w:val="24"/>
          <w:highlight w:val="none"/>
        </w:rPr>
        <w:t>证明文件</w:t>
      </w:r>
    </w:p>
    <w:p>
      <w:pPr>
        <w:snapToGrid w:val="0"/>
        <w:spacing w:line="360" w:lineRule="auto"/>
        <w:ind w:firstLine="480" w:firstLineChars="200"/>
        <w:rPr>
          <w:rFonts w:hint="eastAsia"/>
          <w:color w:val="auto"/>
          <w:sz w:val="24"/>
          <w:highlight w:val="none"/>
        </w:rPr>
      </w:pPr>
      <w:r>
        <w:rPr>
          <w:rFonts w:hint="eastAsia" w:ascii="宋体" w:hAnsi="宋体" w:eastAsia="宋体" w:cs="宋体"/>
          <w:color w:val="auto"/>
          <w:kern w:val="0"/>
          <w:sz w:val="24"/>
          <w:szCs w:val="24"/>
          <w:highlight w:val="none"/>
        </w:rPr>
        <w:t>16.</w:t>
      </w:r>
      <w:r>
        <w:rPr>
          <w:rFonts w:hint="eastAsia" w:ascii="宋体" w:hAnsi="宋体" w:cs="宋体"/>
          <w:color w:val="auto"/>
          <w:kern w:val="0"/>
          <w:sz w:val="24"/>
          <w:szCs w:val="24"/>
          <w:highlight w:val="none"/>
          <w:lang w:val="en-US" w:eastAsia="zh-CN"/>
        </w:rPr>
        <w:t>9</w:t>
      </w:r>
      <w:r>
        <w:rPr>
          <w:rFonts w:hint="eastAsia" w:ascii="宋体" w:hAnsi="宋体" w:eastAsia="宋体" w:cs="宋体"/>
          <w:color w:val="auto"/>
          <w:kern w:val="0"/>
          <w:sz w:val="24"/>
          <w:szCs w:val="24"/>
          <w:highlight w:val="none"/>
        </w:rPr>
        <w:t>、</w:t>
      </w:r>
      <w:r>
        <w:rPr>
          <w:rFonts w:hint="eastAsia"/>
          <w:color w:val="auto"/>
          <w:sz w:val="24"/>
          <w:highlight w:val="none"/>
        </w:rPr>
        <w:t>供应商承诺书</w:t>
      </w:r>
    </w:p>
    <w:p>
      <w:pPr>
        <w:snapToGrid w:val="0"/>
        <w:spacing w:line="360" w:lineRule="auto"/>
        <w:ind w:firstLine="480" w:firstLineChars="200"/>
        <w:rPr>
          <w:rFonts w:hint="eastAsia"/>
        </w:rPr>
      </w:pPr>
      <w:r>
        <w:rPr>
          <w:rFonts w:hint="eastAsia" w:ascii="宋体" w:hAnsi="宋体" w:eastAsia="宋体" w:cs="宋体"/>
          <w:color w:val="auto"/>
          <w:kern w:val="0"/>
          <w:sz w:val="24"/>
          <w:szCs w:val="24"/>
          <w:highlight w:val="none"/>
        </w:rPr>
        <w:t>16</w:t>
      </w:r>
      <w:r>
        <w:rPr>
          <w:rFonts w:hint="eastAsia" w:ascii="宋体" w:hAnsi="宋体" w:cs="宋体"/>
          <w:color w:val="auto"/>
          <w:kern w:val="0"/>
          <w:sz w:val="24"/>
          <w:szCs w:val="24"/>
          <w:highlight w:val="none"/>
          <w:lang w:val="en-US" w:eastAsia="zh-CN"/>
        </w:rPr>
        <w:t>.10</w:t>
      </w:r>
      <w:r>
        <w:rPr>
          <w:rFonts w:hint="eastAsia" w:ascii="宋体" w:hAnsi="宋体" w:eastAsia="宋体" w:cs="宋体"/>
          <w:color w:val="auto"/>
          <w:kern w:val="0"/>
          <w:sz w:val="24"/>
          <w:szCs w:val="24"/>
          <w:highlight w:val="none"/>
        </w:rPr>
        <w:t>、</w:t>
      </w:r>
      <w:r>
        <w:rPr>
          <w:rFonts w:hint="eastAsia" w:eastAsia="宋体"/>
          <w:color w:val="auto"/>
          <w:sz w:val="24"/>
          <w:highlight w:val="none"/>
          <w:lang w:val="en-US" w:eastAsia="zh-CN"/>
        </w:rPr>
        <w:t>供应商信用承诺函</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17.投标有效期</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17.1 投标文件从</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公告所规定的投标截止期之后开始生效，在</w:t>
      </w:r>
      <w:r>
        <w:rPr>
          <w:rFonts w:hint="eastAsia" w:ascii="宋体" w:hAnsi="宋体" w:eastAsia="宋体" w:cs="宋体"/>
          <w:bCs/>
          <w:color w:val="auto"/>
          <w:kern w:val="0"/>
          <w:sz w:val="24"/>
          <w:szCs w:val="24"/>
          <w:highlight w:val="none"/>
        </w:rPr>
        <w:t>投标人须知前附表</w:t>
      </w:r>
      <w:r>
        <w:rPr>
          <w:rFonts w:hint="eastAsia" w:ascii="宋体" w:hAnsi="宋体" w:eastAsia="宋体" w:cs="宋体"/>
          <w:color w:val="auto"/>
          <w:kern w:val="0"/>
          <w:sz w:val="24"/>
          <w:szCs w:val="24"/>
          <w:highlight w:val="none"/>
        </w:rPr>
        <w:t>第16项所规定的期限内保持有效。有效期不足将导致其投标文件被拒绝。中标人的投标文件有效期至合同完全履行止。</w:t>
      </w:r>
    </w:p>
    <w:p>
      <w:pPr>
        <w:keepNext w:val="0"/>
        <w:keepLines w:val="0"/>
        <w:pageBreakBefore w:val="0"/>
        <w:widowControl/>
        <w:kinsoku/>
        <w:wordWrap/>
        <w:overflowPunct/>
        <w:topLinePunct w:val="0"/>
        <w:bidi w:val="0"/>
        <w:snapToGrid w:val="0"/>
        <w:spacing w:line="360" w:lineRule="auto"/>
        <w:ind w:firstLine="48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17.2特殊情况下</w:t>
      </w:r>
      <w:r>
        <w:rPr>
          <w:rFonts w:hint="eastAsia" w:ascii="宋体" w:hAnsi="宋体" w:eastAsia="宋体" w:cs="宋体"/>
          <w:color w:val="auto"/>
          <w:kern w:val="0"/>
          <w:sz w:val="24"/>
          <w:szCs w:val="24"/>
          <w:highlight w:val="none"/>
          <w:lang w:eastAsia="zh-CN"/>
        </w:rPr>
        <w:t>采购人</w:t>
      </w:r>
      <w:r>
        <w:rPr>
          <w:rFonts w:hint="eastAsia" w:ascii="宋体" w:hAnsi="宋体" w:eastAsia="宋体" w:cs="宋体"/>
          <w:color w:val="auto"/>
          <w:kern w:val="0"/>
          <w:sz w:val="24"/>
          <w:szCs w:val="24"/>
          <w:highlight w:val="none"/>
        </w:rPr>
        <w:t>可于投标有效期满之前书面要求投标人同意延长有效期，投标人应在</w:t>
      </w:r>
      <w:r>
        <w:rPr>
          <w:rFonts w:hint="eastAsia" w:ascii="宋体" w:hAnsi="宋体" w:eastAsia="宋体" w:cs="宋体"/>
          <w:color w:val="auto"/>
          <w:kern w:val="0"/>
          <w:sz w:val="24"/>
          <w:szCs w:val="24"/>
          <w:highlight w:val="none"/>
          <w:lang w:eastAsia="zh-CN"/>
        </w:rPr>
        <w:t>采购人</w:t>
      </w:r>
      <w:r>
        <w:rPr>
          <w:rFonts w:hint="eastAsia" w:ascii="宋体" w:hAnsi="宋体" w:eastAsia="宋体" w:cs="宋体"/>
          <w:color w:val="auto"/>
          <w:kern w:val="0"/>
          <w:sz w:val="24"/>
          <w:szCs w:val="24"/>
          <w:highlight w:val="none"/>
        </w:rPr>
        <w:t>规定的期限内以书面形式予以答复。投标人可以拒绝上述要求。投标人答复不明确或者逾期未答复的，均视为拒绝上述要求。对于接受该要求的投标人，既不要求也不允许其修改投标文件。</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18.投标报价</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18.1 所有投标报价均以人民币元为计算单位。投标人的投标报价为交货地点交货价格，包括货物、随配附件、备品备件、工具、厂家赠品、运抵指定交货地点费用、保险费、安装调试费、服务费、售后服务、税金及其他所有费用的总和。</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18.2 投标人要按开标一览表的内容填写。</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18.3 </w:t>
      </w:r>
      <w:r>
        <w:rPr>
          <w:rFonts w:hint="eastAsia" w:ascii="宋体" w:hAnsi="宋体" w:eastAsia="宋体" w:cs="宋体"/>
          <w:color w:val="auto"/>
          <w:spacing w:val="10"/>
          <w:kern w:val="0"/>
          <w:sz w:val="24"/>
          <w:szCs w:val="24"/>
          <w:highlight w:val="none"/>
        </w:rPr>
        <w:t>投标人投报多标包的，应对每标包分别报价并分别填报开标一览表。</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18.4 开标一览表中标明的价格在政府采购合同执行过程中是固定不变的，投标人不得以任何理由予以变更。以可调整的价格提交的投标将被作为无效投标处理。</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 xml:space="preserve">18.5 </w:t>
      </w:r>
      <w:r>
        <w:rPr>
          <w:rFonts w:hint="eastAsia" w:ascii="宋体" w:hAnsi="宋体" w:eastAsia="宋体" w:cs="宋体"/>
          <w:color w:val="auto"/>
          <w:kern w:val="0"/>
          <w:sz w:val="24"/>
          <w:szCs w:val="24"/>
          <w:highlight w:val="none"/>
          <w:lang w:eastAsia="zh-CN"/>
        </w:rPr>
        <w:t>采购人</w:t>
      </w:r>
      <w:r>
        <w:rPr>
          <w:rFonts w:hint="eastAsia" w:ascii="宋体" w:hAnsi="宋体" w:eastAsia="宋体" w:cs="宋体"/>
          <w:color w:val="auto"/>
          <w:kern w:val="0"/>
          <w:sz w:val="24"/>
          <w:szCs w:val="24"/>
          <w:highlight w:val="none"/>
        </w:rPr>
        <w:t>不接受可选择的投标报价。</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18.6 对于投标人在开标一览表和投标文件中列出的赠送条款，在评审时不得作为价格评分因素或者调整评标价格的依据。</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b/>
          <w:color w:val="auto"/>
          <w:kern w:val="0"/>
          <w:sz w:val="24"/>
          <w:szCs w:val="24"/>
          <w:highlight w:val="none"/>
          <w:lang w:eastAsia="zh-CN"/>
        </w:rPr>
      </w:pPr>
      <w:r>
        <w:rPr>
          <w:rFonts w:hint="eastAsia" w:ascii="宋体" w:hAnsi="宋体" w:eastAsia="宋体" w:cs="宋体"/>
          <w:b/>
          <w:color w:val="auto"/>
          <w:kern w:val="0"/>
          <w:sz w:val="24"/>
          <w:szCs w:val="24"/>
          <w:highlight w:val="none"/>
        </w:rPr>
        <w:t>19.投标保证金</w:t>
      </w:r>
      <w:r>
        <w:rPr>
          <w:rFonts w:hint="eastAsia" w:ascii="宋体" w:hAnsi="宋体" w:eastAsia="宋体" w:cs="宋体"/>
          <w:b/>
          <w:color w:val="auto"/>
          <w:kern w:val="0"/>
          <w:sz w:val="24"/>
          <w:szCs w:val="24"/>
          <w:highlight w:val="none"/>
          <w:lang w:eastAsia="zh-CN"/>
        </w:rPr>
        <w:t>（</w:t>
      </w:r>
      <w:r>
        <w:rPr>
          <w:rFonts w:hint="eastAsia" w:ascii="宋体" w:hAnsi="宋体" w:eastAsia="宋体" w:cs="宋体"/>
          <w:b/>
          <w:color w:val="auto"/>
          <w:kern w:val="0"/>
          <w:sz w:val="24"/>
          <w:szCs w:val="24"/>
          <w:highlight w:val="none"/>
          <w:lang w:val="en-US" w:eastAsia="zh-CN"/>
        </w:rPr>
        <w:t>不要求</w:t>
      </w:r>
      <w:r>
        <w:rPr>
          <w:rFonts w:hint="eastAsia" w:ascii="宋体" w:hAnsi="宋体" w:eastAsia="宋体" w:cs="宋体"/>
          <w:b/>
          <w:color w:val="auto"/>
          <w:kern w:val="0"/>
          <w:sz w:val="24"/>
          <w:szCs w:val="24"/>
          <w:highlight w:val="none"/>
          <w:lang w:eastAsia="zh-CN"/>
        </w:rPr>
        <w:t>）</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b/>
          <w:color w:val="auto"/>
          <w:kern w:val="0"/>
          <w:sz w:val="24"/>
          <w:szCs w:val="24"/>
          <w:highlight w:val="none"/>
          <w:lang w:val="en-US" w:eastAsia="zh-CN"/>
        </w:rPr>
      </w:pPr>
      <w:r>
        <w:rPr>
          <w:rFonts w:hint="eastAsia" w:ascii="宋体" w:hAnsi="宋体" w:eastAsia="宋体" w:cs="宋体"/>
          <w:b/>
          <w:color w:val="auto"/>
          <w:kern w:val="0"/>
          <w:sz w:val="24"/>
          <w:szCs w:val="24"/>
          <w:highlight w:val="none"/>
        </w:rPr>
        <w:t>20.投标文件的签署</w:t>
      </w:r>
      <w:r>
        <w:rPr>
          <w:rFonts w:hint="eastAsia" w:ascii="宋体" w:hAnsi="宋体" w:eastAsia="宋体" w:cs="宋体"/>
          <w:b/>
          <w:color w:val="auto"/>
          <w:kern w:val="0"/>
          <w:sz w:val="24"/>
          <w:szCs w:val="24"/>
          <w:highlight w:val="none"/>
          <w:lang w:val="en-US" w:eastAsia="zh-CN"/>
        </w:rPr>
        <w:t>及其他规定</w:t>
      </w:r>
    </w:p>
    <w:p>
      <w:pPr>
        <w:keepNext w:val="0"/>
        <w:keepLines w:val="0"/>
        <w:pageBreakBefore w:val="0"/>
        <w:widowControl/>
        <w:kinsoku/>
        <w:wordWrap/>
        <w:overflowPunct/>
        <w:topLinePunct w:val="0"/>
        <w:autoSpaceDE/>
        <w:autoSpaceDN/>
        <w:bidi w:val="0"/>
        <w:adjustRightInd/>
        <w:snapToGrid w:val="0"/>
        <w:spacing w:line="360" w:lineRule="auto"/>
        <w:ind w:firstLine="475" w:firstLineChars="198"/>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.1投标文件应按第六章“投标文件格式”进行编写，如有必要，可以增加附页，作为投标文件的组成部分。其中，投标报价一览表在满足</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文件实质性要求的基础上，可以提出比</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文件要求更有利于采购人的承诺。</w:t>
      </w:r>
    </w:p>
    <w:p>
      <w:pPr>
        <w:keepNext w:val="0"/>
        <w:keepLines w:val="0"/>
        <w:pageBreakBefore w:val="0"/>
        <w:widowControl/>
        <w:kinsoku/>
        <w:wordWrap/>
        <w:overflowPunct/>
        <w:topLinePunct w:val="0"/>
        <w:autoSpaceDE/>
        <w:autoSpaceDN/>
        <w:bidi w:val="0"/>
        <w:adjustRightInd/>
        <w:snapToGrid w:val="0"/>
        <w:spacing w:line="360" w:lineRule="auto"/>
        <w:ind w:firstLine="475" w:firstLineChars="198"/>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.2 投标文件应当对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文件有关服务期、投标有效期、质量要求、技术标准和要求、</w:t>
      </w:r>
      <w:r>
        <w:rPr>
          <w:rFonts w:hint="eastAsia" w:ascii="宋体" w:hAnsi="宋体" w:eastAsia="宋体" w:cs="宋体"/>
          <w:color w:val="auto"/>
          <w:kern w:val="0"/>
          <w:sz w:val="24"/>
          <w:szCs w:val="24"/>
          <w:highlight w:val="none"/>
          <w:lang w:eastAsia="zh-CN"/>
        </w:rPr>
        <w:t>磋商</w:t>
      </w:r>
      <w:r>
        <w:rPr>
          <w:rFonts w:hint="eastAsia" w:ascii="宋体" w:hAnsi="宋体" w:eastAsia="宋体" w:cs="宋体"/>
          <w:color w:val="auto"/>
          <w:kern w:val="0"/>
          <w:sz w:val="24"/>
          <w:szCs w:val="24"/>
          <w:highlight w:val="none"/>
        </w:rPr>
        <w:t>范围等实质性内容作出响应。</w:t>
      </w:r>
    </w:p>
    <w:p>
      <w:pPr>
        <w:keepNext w:val="0"/>
        <w:keepLines w:val="0"/>
        <w:pageBreakBefore w:val="0"/>
        <w:widowControl/>
        <w:kinsoku/>
        <w:wordWrap/>
        <w:overflowPunct/>
        <w:topLinePunct w:val="0"/>
        <w:autoSpaceDE/>
        <w:autoSpaceDN/>
        <w:bidi w:val="0"/>
        <w:adjustRightInd/>
        <w:snapToGrid w:val="0"/>
        <w:spacing w:line="360" w:lineRule="auto"/>
        <w:ind w:firstLine="475" w:firstLineChars="198"/>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3投标文件应用不褪色的材料书写或打印，并由投标人的法定代表人盖章或盖单位公章；投标文件应尽量避免涂改、行间插字或删除，如果出现上述情况，改动之处应加盖单位公章或由投标人的法定代表人盖章确认。签字或盖章的具体要求见投标人须知前附表。</w:t>
      </w:r>
    </w:p>
    <w:p>
      <w:pPr>
        <w:keepNext w:val="0"/>
        <w:keepLines w:val="0"/>
        <w:pageBreakBefore w:val="0"/>
        <w:widowControl/>
        <w:kinsoku/>
        <w:wordWrap/>
        <w:overflowPunct/>
        <w:topLinePunct w:val="0"/>
        <w:autoSpaceDE/>
        <w:autoSpaceDN/>
        <w:bidi w:val="0"/>
        <w:adjustRightInd/>
        <w:snapToGrid w:val="0"/>
        <w:spacing w:line="360" w:lineRule="auto"/>
        <w:ind w:firstLine="475" w:firstLineChars="198"/>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.4投标文件份数见投标人须知前附表。投标文件正本和副本的封面上应清楚地标记“正本”或“副本”的字样。</w:t>
      </w:r>
    </w:p>
    <w:p>
      <w:pPr>
        <w:keepNext w:val="0"/>
        <w:keepLines w:val="0"/>
        <w:pageBreakBefore w:val="0"/>
        <w:widowControl/>
        <w:kinsoku/>
        <w:wordWrap/>
        <w:overflowPunct/>
        <w:topLinePunct w:val="0"/>
        <w:autoSpaceDE/>
        <w:autoSpaceDN/>
        <w:bidi w:val="0"/>
        <w:adjustRightInd/>
        <w:snapToGrid w:val="0"/>
        <w:spacing w:line="360" w:lineRule="auto"/>
        <w:ind w:firstLine="475" w:firstLineChars="198"/>
        <w:textAlignment w:val="auto"/>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lang w:val="en-US" w:eastAsia="zh-CN"/>
        </w:rPr>
        <w:t>20</w:t>
      </w:r>
      <w:r>
        <w:rPr>
          <w:rFonts w:hint="eastAsia" w:ascii="宋体" w:hAnsi="宋体" w:eastAsia="宋体" w:cs="宋体"/>
          <w:color w:val="auto"/>
          <w:kern w:val="0"/>
          <w:sz w:val="24"/>
          <w:szCs w:val="24"/>
          <w:highlight w:val="none"/>
        </w:rPr>
        <w:t>.5投标文件的具体装订要求见投标人须知前附表规定。</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b/>
          <w:color w:val="auto"/>
          <w:kern w:val="0"/>
          <w:sz w:val="32"/>
          <w:szCs w:val="32"/>
          <w:highlight w:val="none"/>
        </w:rPr>
      </w:pPr>
      <w:r>
        <w:rPr>
          <w:rFonts w:hint="eastAsia" w:ascii="宋体" w:hAnsi="宋体" w:eastAsia="宋体" w:cs="宋体"/>
          <w:b/>
          <w:color w:val="auto"/>
          <w:kern w:val="0"/>
          <w:sz w:val="32"/>
          <w:szCs w:val="32"/>
          <w:highlight w:val="none"/>
        </w:rPr>
        <w:t>四、投标文件的递交</w:t>
      </w:r>
    </w:p>
    <w:p>
      <w:pPr>
        <w:keepNext w:val="0"/>
        <w:keepLines w:val="0"/>
        <w:pageBreakBefore w:val="0"/>
        <w:widowControl/>
        <w:kinsoku/>
        <w:wordWrap/>
        <w:overflowPunct/>
        <w:topLinePunct w:val="0"/>
        <w:autoSpaceDE/>
        <w:autoSpaceDN/>
        <w:bidi w:val="0"/>
        <w:adjustRightInd/>
        <w:snapToGrid w:val="0"/>
        <w:spacing w:line="360" w:lineRule="auto"/>
        <w:ind w:firstLine="477" w:firstLineChars="198"/>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21. 投标文件的密封、标记</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21.1</w:t>
      </w:r>
      <w:r>
        <w:rPr>
          <w:rFonts w:hint="eastAsia" w:ascii="宋体" w:hAnsi="宋体" w:eastAsia="宋体" w:cs="宋体"/>
          <w:color w:val="auto"/>
          <w:sz w:val="24"/>
          <w:szCs w:val="32"/>
          <w:highlight w:val="none"/>
        </w:rPr>
        <w:t>响应文件应密封包装，并在封套的封口处加盖供应商单位章或由供应商的法定 代表人（单位负责人）或其授权的代理人签字。</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lang w:eastAsia="zh-CN"/>
        </w:rPr>
      </w:pPr>
      <w:r>
        <w:rPr>
          <w:rFonts w:hint="eastAsia" w:ascii="宋体" w:hAnsi="宋体" w:eastAsia="宋体" w:cs="宋体"/>
          <w:color w:val="auto"/>
          <w:kern w:val="0"/>
          <w:sz w:val="24"/>
          <w:szCs w:val="24"/>
          <w:highlight w:val="none"/>
        </w:rPr>
        <w:t>21.2 投标文件的封套上应清楚地标记“正本”或“副本”字样，封套上应写明的其他内容见投标人须知前附表</w:t>
      </w:r>
      <w:r>
        <w:rPr>
          <w:rFonts w:hint="eastAsia" w:ascii="宋体" w:hAnsi="宋体" w:eastAsia="宋体" w:cs="宋体"/>
          <w:color w:val="auto"/>
          <w:kern w:val="0"/>
          <w:sz w:val="24"/>
          <w:szCs w:val="24"/>
          <w:highlight w:val="none"/>
          <w:lang w:eastAsia="zh-CN"/>
        </w:rPr>
        <w:t>。</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32"/>
          <w:lang w:eastAsia="zh-CN"/>
        </w:rPr>
      </w:pPr>
      <w:r>
        <w:rPr>
          <w:rFonts w:hint="eastAsia" w:ascii="宋体" w:hAnsi="宋体" w:eastAsia="宋体" w:cs="宋体"/>
          <w:color w:val="auto"/>
          <w:sz w:val="24"/>
          <w:szCs w:val="32"/>
          <w:lang w:eastAsia="zh-CN"/>
        </w:rPr>
        <w:t>2</w:t>
      </w:r>
      <w:r>
        <w:rPr>
          <w:rFonts w:hint="eastAsia" w:ascii="宋体" w:hAnsi="宋体" w:eastAsia="宋体" w:cs="宋体"/>
          <w:color w:val="auto"/>
          <w:sz w:val="24"/>
          <w:szCs w:val="32"/>
          <w:lang w:val="en-US" w:eastAsia="zh-CN"/>
        </w:rPr>
        <w:t>1</w:t>
      </w:r>
      <w:r>
        <w:rPr>
          <w:rFonts w:hint="eastAsia" w:ascii="宋体" w:hAnsi="宋体" w:eastAsia="宋体" w:cs="宋体"/>
          <w:color w:val="auto"/>
          <w:sz w:val="24"/>
          <w:szCs w:val="32"/>
          <w:lang w:eastAsia="zh-CN"/>
        </w:rPr>
        <w:t>.3 未按本章第2</w:t>
      </w:r>
      <w:r>
        <w:rPr>
          <w:rFonts w:hint="eastAsia" w:ascii="宋体" w:hAnsi="宋体" w:eastAsia="宋体" w:cs="宋体"/>
          <w:color w:val="auto"/>
          <w:sz w:val="24"/>
          <w:szCs w:val="32"/>
          <w:lang w:val="en-US" w:eastAsia="zh-CN"/>
        </w:rPr>
        <w:t>1</w:t>
      </w:r>
      <w:r>
        <w:rPr>
          <w:rFonts w:hint="eastAsia" w:ascii="宋体" w:hAnsi="宋体" w:eastAsia="宋体" w:cs="宋体"/>
          <w:color w:val="auto"/>
          <w:sz w:val="24"/>
          <w:szCs w:val="32"/>
          <w:lang w:eastAsia="zh-CN"/>
        </w:rPr>
        <w:t>.1项或第2</w:t>
      </w:r>
      <w:r>
        <w:rPr>
          <w:rFonts w:hint="eastAsia" w:ascii="宋体" w:hAnsi="宋体" w:eastAsia="宋体" w:cs="宋体"/>
          <w:color w:val="auto"/>
          <w:sz w:val="24"/>
          <w:szCs w:val="32"/>
          <w:lang w:val="en-US" w:eastAsia="zh-CN"/>
        </w:rPr>
        <w:t>1</w:t>
      </w:r>
      <w:r>
        <w:rPr>
          <w:rFonts w:hint="eastAsia" w:ascii="宋体" w:hAnsi="宋体" w:eastAsia="宋体" w:cs="宋体"/>
          <w:color w:val="auto"/>
          <w:sz w:val="24"/>
          <w:szCs w:val="32"/>
          <w:lang w:eastAsia="zh-CN"/>
        </w:rPr>
        <w:t>.2项要求密封和加写标记的投标文件，采购人不予受理。</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22. 投标文件的递交</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.1 投标人应在规定的投标截止时间前</w:t>
      </w:r>
      <w:r>
        <w:rPr>
          <w:rFonts w:hint="eastAsia" w:ascii="宋体" w:hAnsi="宋体" w:eastAsia="宋体" w:cs="宋体"/>
          <w:color w:val="auto"/>
          <w:kern w:val="0"/>
          <w:sz w:val="24"/>
          <w:szCs w:val="24"/>
          <w:highlight w:val="none"/>
          <w:lang w:eastAsia="zh-CN"/>
        </w:rPr>
        <w:t>递交</w:t>
      </w:r>
      <w:r>
        <w:rPr>
          <w:rFonts w:hint="eastAsia" w:ascii="宋体" w:hAnsi="宋体" w:eastAsia="宋体" w:cs="宋体"/>
          <w:color w:val="auto"/>
          <w:kern w:val="0"/>
          <w:sz w:val="24"/>
          <w:szCs w:val="24"/>
          <w:highlight w:val="none"/>
        </w:rPr>
        <w:t>投标文件。</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.2 投标人递交投标文件的地点：见投标人须知前附表。</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.3 除投标人须知前附表另有规定外，投标人所递交的投标文件不予退还。</w:t>
      </w:r>
    </w:p>
    <w:p>
      <w:pPr>
        <w:keepNext w:val="0"/>
        <w:keepLines w:val="0"/>
        <w:pageBreakBefore w:val="0"/>
        <w:kinsoku/>
        <w:wordWrap/>
        <w:overflowPunct/>
        <w:topLinePunct w:val="0"/>
        <w:autoSpaceDE w:val="0"/>
        <w:autoSpaceDN w:val="0"/>
        <w:bidi w:val="0"/>
        <w:adjustRightInd w:val="0"/>
        <w:snapToGrid w:val="0"/>
        <w:spacing w:line="360" w:lineRule="auto"/>
        <w:ind w:right="-34" w:rightChars="-16"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.4 逾期送达的或者未送达指定地点的投标文件，采购人不予受理。</w:t>
      </w:r>
    </w:p>
    <w:p>
      <w:pPr>
        <w:keepNext w:val="0"/>
        <w:keepLines w:val="0"/>
        <w:pageBreakBefore w:val="0"/>
        <w:widowControl/>
        <w:kinsoku/>
        <w:wordWrap/>
        <w:overflowPunct/>
        <w:topLinePunct w:val="0"/>
        <w:bidi w:val="0"/>
        <w:snapToGrid w:val="0"/>
        <w:spacing w:line="360" w:lineRule="auto"/>
        <w:ind w:firstLine="477" w:firstLineChars="198"/>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23. 投标文件的修改和撤回</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23.1 投标人在投标截止时间前，可以对所提交的投标文件进行补充、修改或者撤回，并书面通知</w:t>
      </w:r>
      <w:r>
        <w:rPr>
          <w:rFonts w:hint="eastAsia" w:ascii="宋体" w:hAnsi="宋体" w:eastAsia="宋体" w:cs="宋体"/>
          <w:color w:val="auto"/>
          <w:kern w:val="0"/>
          <w:sz w:val="24"/>
          <w:szCs w:val="24"/>
          <w:highlight w:val="none"/>
          <w:lang w:eastAsia="zh-CN"/>
        </w:rPr>
        <w:t>采购人</w:t>
      </w:r>
      <w:r>
        <w:rPr>
          <w:rFonts w:hint="eastAsia" w:ascii="宋体" w:hAnsi="宋体" w:eastAsia="宋体" w:cs="宋体"/>
          <w:color w:val="auto"/>
          <w:kern w:val="0"/>
          <w:sz w:val="24"/>
          <w:szCs w:val="24"/>
          <w:highlight w:val="none"/>
        </w:rPr>
        <w:t>。补充、修改的内容和撤回通知应当按本须知要求签署、盖章、密封，并作为投标文件的组成部分。</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32"/>
          <w:szCs w:val="32"/>
          <w:highlight w:val="none"/>
        </w:rPr>
      </w:pPr>
      <w:r>
        <w:rPr>
          <w:rFonts w:hint="eastAsia" w:ascii="宋体" w:hAnsi="宋体" w:eastAsia="宋体" w:cs="宋体"/>
          <w:color w:val="auto"/>
          <w:kern w:val="0"/>
          <w:sz w:val="24"/>
          <w:szCs w:val="24"/>
          <w:highlight w:val="none"/>
        </w:rPr>
        <w:t>23.2 投标人在投标截止期后不得修改、撤回投标文件。投标人在投标截止期后修改投标文件的，其投标将被拒绝。</w:t>
      </w:r>
    </w:p>
    <w:p>
      <w:pPr>
        <w:keepNext w:val="0"/>
        <w:keepLines w:val="0"/>
        <w:pageBreakBefore w:val="0"/>
        <w:widowControl/>
        <w:kinsoku/>
        <w:wordWrap/>
        <w:overflowPunct/>
        <w:topLinePunct w:val="0"/>
        <w:bidi w:val="0"/>
        <w:snapToGrid w:val="0"/>
        <w:spacing w:line="360" w:lineRule="auto"/>
        <w:jc w:val="center"/>
        <w:rPr>
          <w:rFonts w:hint="eastAsia" w:ascii="宋体" w:hAnsi="宋体" w:eastAsia="宋体" w:cs="宋体"/>
          <w:color w:val="auto"/>
          <w:kern w:val="0"/>
          <w:sz w:val="30"/>
          <w:szCs w:val="30"/>
          <w:highlight w:val="none"/>
        </w:rPr>
      </w:pPr>
      <w:r>
        <w:rPr>
          <w:rFonts w:hint="eastAsia" w:ascii="宋体" w:hAnsi="宋体" w:eastAsia="宋体" w:cs="宋体"/>
          <w:b/>
          <w:bCs/>
          <w:color w:val="auto"/>
          <w:kern w:val="0"/>
          <w:sz w:val="32"/>
          <w:szCs w:val="32"/>
          <w:highlight w:val="none"/>
          <w:lang w:val="en-US" w:eastAsia="zh-CN"/>
        </w:rPr>
        <w:t>五</w:t>
      </w:r>
      <w:r>
        <w:rPr>
          <w:rFonts w:hint="eastAsia" w:ascii="宋体" w:hAnsi="宋体" w:eastAsia="宋体" w:cs="宋体"/>
          <w:b/>
          <w:bCs/>
          <w:color w:val="auto"/>
          <w:kern w:val="0"/>
          <w:sz w:val="32"/>
          <w:szCs w:val="32"/>
          <w:highlight w:val="none"/>
        </w:rPr>
        <w:t>、评标</w:t>
      </w:r>
    </w:p>
    <w:p>
      <w:pPr>
        <w:keepNext w:val="0"/>
        <w:keepLines w:val="0"/>
        <w:pageBreakBefore w:val="0"/>
        <w:widowControl/>
        <w:kinsoku/>
        <w:wordWrap/>
        <w:overflowPunct/>
        <w:topLinePunct w:val="0"/>
        <w:bidi w:val="0"/>
        <w:snapToGrid w:val="0"/>
        <w:spacing w:line="360" w:lineRule="auto"/>
        <w:ind w:firstLine="482" w:firstLineChars="20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2</w:t>
      </w:r>
      <w:r>
        <w:rPr>
          <w:rFonts w:hint="eastAsia" w:ascii="宋体" w:hAnsi="宋体" w:eastAsia="宋体" w:cs="宋体"/>
          <w:b/>
          <w:bCs/>
          <w:color w:val="auto"/>
          <w:kern w:val="0"/>
          <w:sz w:val="24"/>
          <w:szCs w:val="24"/>
          <w:highlight w:val="none"/>
          <w:lang w:val="en-US" w:eastAsia="zh-CN"/>
        </w:rPr>
        <w:t>4</w:t>
      </w:r>
      <w:r>
        <w:rPr>
          <w:rFonts w:hint="eastAsia" w:ascii="宋体" w:hAnsi="宋体" w:eastAsia="宋体" w:cs="宋体"/>
          <w:b/>
          <w:bCs/>
          <w:color w:val="auto"/>
          <w:kern w:val="0"/>
          <w:sz w:val="24"/>
          <w:szCs w:val="24"/>
          <w:highlight w:val="none"/>
        </w:rPr>
        <w:t>. 组建评标委员会</w:t>
      </w:r>
    </w:p>
    <w:p>
      <w:pPr>
        <w:keepNext w:val="0"/>
        <w:keepLines w:val="0"/>
        <w:pageBreakBefore w:val="0"/>
        <w:kinsoku/>
        <w:wordWrap/>
        <w:overflowPunct/>
        <w:topLinePunct w:val="0"/>
        <w:bidi w:val="0"/>
        <w:snapToGrid w:val="0"/>
        <w:spacing w:line="360" w:lineRule="auto"/>
        <w:ind w:firstLine="480" w:firstLineChars="20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.1 评标委员会由采购人代表和评审专家组成。成员由</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人以上单数组成。</w:t>
      </w:r>
      <w:r>
        <w:rPr>
          <w:rFonts w:hint="eastAsia" w:ascii="宋体" w:hAnsi="宋体" w:eastAsia="宋体" w:cs="宋体"/>
          <w:color w:val="auto"/>
          <w:sz w:val="24"/>
          <w:szCs w:val="24"/>
          <w:highlight w:val="none"/>
        </w:rPr>
        <w:t>在开标后由评标委员会对投标文件进行审查、质疑、评估和比较，并做合理的建议。</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.2评标委员会成员要依法独立评审，并对评审意见承担个人责任。</w:t>
      </w:r>
      <w:r>
        <w:rPr>
          <w:rFonts w:hint="eastAsia" w:ascii="宋体" w:hAnsi="宋体" w:eastAsia="宋体" w:cs="宋体"/>
          <w:color w:val="auto"/>
          <w:sz w:val="24"/>
          <w:szCs w:val="24"/>
          <w:highlight w:val="none"/>
        </w:rPr>
        <w:t>评标委员会成员对需要共同认定的事项存在争议的，按照少数服从多数的原则</w:t>
      </w:r>
      <w:r>
        <w:rPr>
          <w:rFonts w:hint="eastAsia" w:ascii="宋体" w:hAnsi="宋体" w:eastAsia="宋体" w:cs="宋体"/>
          <w:color w:val="auto"/>
          <w:kern w:val="0"/>
          <w:sz w:val="24"/>
          <w:szCs w:val="24"/>
          <w:highlight w:val="none"/>
        </w:rPr>
        <w:t>做</w:t>
      </w:r>
      <w:r>
        <w:rPr>
          <w:rFonts w:hint="eastAsia" w:ascii="宋体" w:hAnsi="宋体" w:eastAsia="宋体" w:cs="宋体"/>
          <w:color w:val="auto"/>
          <w:sz w:val="24"/>
          <w:szCs w:val="24"/>
          <w:highlight w:val="none"/>
        </w:rPr>
        <w:t>出结论。持不同意见的评标委员会成员应当在评标报告上签署不同意见</w:t>
      </w:r>
      <w:r>
        <w:rPr>
          <w:rFonts w:hint="eastAsia" w:ascii="宋体" w:hAnsi="宋体" w:eastAsia="宋体" w:cs="宋体"/>
          <w:color w:val="auto"/>
          <w:kern w:val="0"/>
          <w:sz w:val="24"/>
          <w:szCs w:val="24"/>
          <w:highlight w:val="none"/>
        </w:rPr>
        <w:t>并说明</w:t>
      </w:r>
      <w:r>
        <w:rPr>
          <w:rFonts w:hint="eastAsia" w:ascii="宋体" w:hAnsi="宋体" w:eastAsia="宋体" w:cs="宋体"/>
          <w:color w:val="auto"/>
          <w:sz w:val="24"/>
          <w:szCs w:val="24"/>
          <w:highlight w:val="none"/>
        </w:rPr>
        <w:t>理由，否则视为同意。</w:t>
      </w:r>
    </w:p>
    <w:p>
      <w:pPr>
        <w:keepNext w:val="0"/>
        <w:keepLines w:val="0"/>
        <w:pageBreakBefore w:val="0"/>
        <w:widowControl/>
        <w:kinsoku/>
        <w:wordWrap/>
        <w:overflowPunct/>
        <w:topLinePunct w:val="0"/>
        <w:bidi w:val="0"/>
        <w:snapToGrid w:val="0"/>
        <w:spacing w:line="360" w:lineRule="auto"/>
        <w:ind w:firstLine="482" w:firstLineChars="200"/>
        <w:jc w:val="left"/>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t>2</w:t>
      </w:r>
      <w:r>
        <w:rPr>
          <w:rFonts w:hint="eastAsia" w:ascii="宋体" w:hAnsi="宋体" w:eastAsia="宋体" w:cs="宋体"/>
          <w:b/>
          <w:bCs/>
          <w:color w:val="auto"/>
          <w:sz w:val="24"/>
          <w:szCs w:val="24"/>
          <w:highlight w:val="none"/>
          <w:lang w:val="en-US" w:eastAsia="zh-CN"/>
        </w:rPr>
        <w:t>5</w:t>
      </w:r>
      <w:r>
        <w:rPr>
          <w:rFonts w:hint="eastAsia" w:ascii="宋体" w:hAnsi="宋体" w:eastAsia="宋体" w:cs="宋体"/>
          <w:b/>
          <w:bCs/>
          <w:color w:val="auto"/>
          <w:sz w:val="24"/>
          <w:szCs w:val="24"/>
          <w:highlight w:val="none"/>
        </w:rPr>
        <w:t>. 投标文件的初审</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.1对所有投标人的评估，都采用相同的程序和标准。评标过程将严格按照</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文件的要求和条件进行。</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.2 评标委员会将对投标文件进行检查，以确定投标文件是否完整、有无计算上的错误、文件是否已正确签署等。</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.3 投标文件报价出现前后不一致的，除</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文件另有规定外，修正错误的原则如下：</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.3.1</w:t>
      </w:r>
      <w:r>
        <w:rPr>
          <w:rFonts w:hint="eastAsia" w:ascii="宋体" w:hAnsi="宋体" w:eastAsia="宋体" w:cs="宋体"/>
          <w:color w:val="auto"/>
          <w:sz w:val="24"/>
          <w:szCs w:val="24"/>
          <w:highlight w:val="none"/>
          <w:shd w:val="clear" w:color="auto" w:fill="FFFFFF"/>
        </w:rPr>
        <w:t>投标文件开标一览表（报价表）内容与投标文件中相应内容不一致的，以开标一览表（报价表）为准；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.3.2</w:t>
      </w:r>
      <w:r>
        <w:rPr>
          <w:rFonts w:hint="eastAsia" w:ascii="宋体" w:hAnsi="宋体" w:eastAsia="宋体" w:cs="宋体"/>
          <w:color w:val="auto"/>
          <w:sz w:val="24"/>
          <w:szCs w:val="24"/>
          <w:highlight w:val="none"/>
          <w:shd w:val="clear" w:color="auto" w:fill="FFFFFF"/>
        </w:rPr>
        <w:t>大写金额</w:t>
      </w:r>
      <w:r>
        <w:rPr>
          <w:rFonts w:hint="eastAsia" w:ascii="宋体" w:hAnsi="宋体" w:eastAsia="宋体" w:cs="宋体"/>
          <w:color w:val="auto"/>
          <w:sz w:val="24"/>
          <w:szCs w:val="24"/>
          <w:highlight w:val="none"/>
        </w:rPr>
        <w:t>与</w:t>
      </w:r>
      <w:r>
        <w:rPr>
          <w:rFonts w:hint="eastAsia" w:ascii="宋体" w:hAnsi="宋体" w:eastAsia="宋体" w:cs="宋体"/>
          <w:color w:val="auto"/>
          <w:sz w:val="24"/>
          <w:szCs w:val="24"/>
          <w:highlight w:val="none"/>
          <w:shd w:val="clear" w:color="auto" w:fill="FFFFFF"/>
        </w:rPr>
        <w:t>小写金额不一致的，以大写金额为准；</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.3.3</w:t>
      </w:r>
      <w:r>
        <w:rPr>
          <w:rFonts w:hint="eastAsia" w:ascii="宋体" w:hAnsi="宋体" w:eastAsia="宋体" w:cs="宋体"/>
          <w:color w:val="auto"/>
          <w:sz w:val="24"/>
          <w:szCs w:val="24"/>
          <w:highlight w:val="none"/>
          <w:shd w:val="clear" w:color="auto" w:fill="FFFFFF"/>
        </w:rPr>
        <w:t>单价金额小数点或者百分比有明显错位的，以开标一览表的总价为准，并修改单价；</w:t>
      </w:r>
    </w:p>
    <w:p>
      <w:pPr>
        <w:pStyle w:val="28"/>
        <w:keepNext w:val="0"/>
        <w:keepLines w:val="0"/>
        <w:pageBreakBefore w:val="0"/>
        <w:widowControl/>
        <w:shd w:val="clear" w:color="auto" w:fill="FFFFFF"/>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.3.4</w:t>
      </w:r>
      <w:r>
        <w:rPr>
          <w:rFonts w:hint="eastAsia" w:ascii="宋体" w:hAnsi="宋体" w:eastAsia="宋体" w:cs="宋体"/>
          <w:color w:val="auto"/>
          <w:sz w:val="24"/>
          <w:szCs w:val="24"/>
          <w:highlight w:val="none"/>
          <w:shd w:val="clear" w:color="auto" w:fill="FFFFFF"/>
        </w:rPr>
        <w:t>总价金额与按单价汇总金额不一致的，以单价金额计算结果为准。</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.3.5 对不同文字文本投标文件的解释发生异议的，以中文文本为准。</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.3.6 同时出现两种以上不一致的，按照前款规定的顺序修正。修正后的报价按照财政部87号令第五十一条第二款的规定经投标人确认后产生约束力，投标人不确认的，其投标无效。</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.4 资格性检查和符合性检查。</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.4.1</w:t>
      </w:r>
      <w:r>
        <w:rPr>
          <w:rFonts w:hint="eastAsia" w:ascii="宋体" w:hAnsi="宋体" w:eastAsia="宋体" w:cs="宋体"/>
          <w:color w:val="auto"/>
          <w:sz w:val="24"/>
          <w:szCs w:val="24"/>
          <w:highlight w:val="none"/>
        </w:rPr>
        <w:t>资格性检查。依据法规政策和</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文件的规定，在对投标文件详细评估之前，采购人将依据投标人提交的投标文件按</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公告第二项和</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文件第三章4.投标人应提交的证明文件所述的资格标准对投标人进行资格审查,以确定其是否具备投标资格。如果投标人不具备投标资格、不满足</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文件所规定的资格标准或提供资格证明文件不全,其投标将被作为无效投标。在审查过程中，采购人有权要求投标人按</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文件的规定提供相关资格证明材料的原件以供审查。投标人应在规定的时限内提供。投标人拒不提供的，或者不能在规定时限内提供的，视为其不具备该资格条件。</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.4.2 资格审查后合格的投标人不足3家的，不得评标。</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5</w:t>
      </w:r>
      <w:r>
        <w:rPr>
          <w:rFonts w:hint="eastAsia" w:ascii="宋体" w:hAnsi="宋体" w:eastAsia="宋体" w:cs="宋体"/>
          <w:color w:val="auto"/>
          <w:kern w:val="0"/>
          <w:sz w:val="24"/>
          <w:szCs w:val="24"/>
          <w:highlight w:val="none"/>
        </w:rPr>
        <w:t>.4.3 符合性检查。依据</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文件的规定，评标委员会将从投标文件的有效性、完整性和对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文件的响应程度进行审查，以确定是否符合对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文件的实质性要求作出响应。对没有实质性响应的投标文件将不进行评估，其投标被作为无效投标。凡有下列情况之一者，投标文件也将被视为未实质性响应</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（1）投标文件未按规定签字、盖章的。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（2）投标人未能出具有效身份证明，或与身份不符的。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（3）资格证明文件不全的，或不符合</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文件标明的资格要求的。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（4）投标有效期、交货时间、质保期等不满足</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（5）未按</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文件提供的格式填列、项目不齐全或内容虚假的。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（6）投标文件的实质性内容未使用中文表述，或意思表述不明确，或前后矛盾，或使用计量单位不符合</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文件要求的。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（7）投标文件的关键内容字迹模糊、无法辨认,或投标文件中经修正的内容字迹模糊无法辩认，或修改处未按规定签名盖章的。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kern w:val="0"/>
          <w:sz w:val="24"/>
          <w:szCs w:val="24"/>
          <w:highlight w:val="none"/>
        </w:rPr>
      </w:pPr>
      <w:r>
        <w:rPr>
          <w:rFonts w:hint="eastAsia" w:ascii="宋体" w:hAnsi="宋体" w:eastAsia="宋体" w:cs="宋体"/>
          <w:color w:val="auto"/>
          <w:sz w:val="24"/>
          <w:szCs w:val="24"/>
          <w:highlight w:val="none"/>
        </w:rPr>
        <w:t>（8）投标文件内容未按</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文件响应的。</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（9）不符合</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文件中规定的其它实质性条款。</w:t>
      </w:r>
    </w:p>
    <w:p>
      <w:pPr>
        <w:keepNext w:val="0"/>
        <w:keepLines w:val="0"/>
        <w:pageBreakBefore w:val="0"/>
        <w:widowControl/>
        <w:tabs>
          <w:tab w:val="left" w:pos="0"/>
        </w:tabs>
        <w:kinsoku/>
        <w:wordWrap/>
        <w:overflowPunct/>
        <w:topLinePunct w:val="0"/>
        <w:bidi w:val="0"/>
        <w:snapToGrid w:val="0"/>
        <w:spacing w:line="360" w:lineRule="auto"/>
        <w:ind w:firstLine="480" w:firstLineChars="200"/>
        <w:contextualSpacing/>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评标委员会决定投标的响应性只根据投标文件本身的内容，而不寻求其他的外部证据。</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eastAsia="zh-CN"/>
        </w:rPr>
        <w:t>5</w:t>
      </w:r>
      <w:r>
        <w:rPr>
          <w:rFonts w:hint="eastAsia" w:ascii="宋体" w:hAnsi="宋体" w:eastAsia="宋体" w:cs="宋体"/>
          <w:color w:val="auto"/>
          <w:kern w:val="0"/>
          <w:sz w:val="24"/>
          <w:szCs w:val="24"/>
          <w:highlight w:val="none"/>
        </w:rPr>
        <w:t>.4.4 对资格性检查和符合性检查不合格的投标人，将</w:t>
      </w:r>
      <w:r>
        <w:rPr>
          <w:rFonts w:hint="eastAsia" w:ascii="宋体" w:hAnsi="宋体" w:eastAsia="宋体" w:cs="宋体"/>
          <w:color w:val="auto"/>
          <w:kern w:val="0"/>
          <w:sz w:val="24"/>
          <w:szCs w:val="24"/>
          <w:highlight w:val="none"/>
          <w:lang w:val="en-US" w:eastAsia="zh-CN"/>
        </w:rPr>
        <w:t>通过评标系统</w:t>
      </w:r>
      <w:r>
        <w:rPr>
          <w:rFonts w:hint="eastAsia" w:ascii="宋体" w:hAnsi="宋体" w:eastAsia="宋体" w:cs="宋体"/>
          <w:color w:val="auto"/>
          <w:kern w:val="0"/>
          <w:sz w:val="24"/>
          <w:szCs w:val="24"/>
          <w:highlight w:val="none"/>
        </w:rPr>
        <w:t>告知其理由。</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.5 在评审过程中，评标委员会发现投标人有下列情形之一的，视为投标人串通投标，其投标无效：</w:t>
      </w:r>
    </w:p>
    <w:p>
      <w:pPr>
        <w:keepNext w:val="0"/>
        <w:keepLines w:val="0"/>
        <w:pageBreakBefore w:val="0"/>
        <w:widowControl/>
        <w:tabs>
          <w:tab w:val="left" w:pos="0"/>
        </w:tabs>
        <w:kinsoku/>
        <w:wordWrap/>
        <w:overflowPunct/>
        <w:topLinePunct w:val="0"/>
        <w:bidi w:val="0"/>
        <w:snapToGrid w:val="0"/>
        <w:spacing w:line="360" w:lineRule="auto"/>
        <w:ind w:left="105" w:leftChars="50" w:firstLine="360" w:firstLineChars="150"/>
        <w:contextualSpacing/>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eastAsia="zh-CN"/>
        </w:rPr>
        <w:t>5</w:t>
      </w:r>
      <w:r>
        <w:rPr>
          <w:rFonts w:hint="eastAsia" w:ascii="宋体" w:hAnsi="宋体" w:eastAsia="宋体" w:cs="宋体"/>
          <w:color w:val="auto"/>
          <w:kern w:val="0"/>
          <w:sz w:val="24"/>
          <w:szCs w:val="24"/>
          <w:highlight w:val="none"/>
        </w:rPr>
        <w:t>.5.1不同投标人的投标文件异常一致。</w:t>
      </w:r>
    </w:p>
    <w:p>
      <w:pPr>
        <w:keepNext w:val="0"/>
        <w:keepLines w:val="0"/>
        <w:pageBreakBefore w:val="0"/>
        <w:widowControl/>
        <w:tabs>
          <w:tab w:val="left" w:pos="0"/>
        </w:tabs>
        <w:kinsoku/>
        <w:wordWrap/>
        <w:overflowPunct/>
        <w:topLinePunct w:val="0"/>
        <w:bidi w:val="0"/>
        <w:snapToGrid w:val="0"/>
        <w:spacing w:line="360" w:lineRule="auto"/>
        <w:ind w:left="105" w:leftChars="50" w:firstLine="360" w:firstLineChars="15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.5.2不同投标人的投标文件由同一单位或者个人编制；</w:t>
      </w:r>
    </w:p>
    <w:p>
      <w:pPr>
        <w:keepNext w:val="0"/>
        <w:keepLines w:val="0"/>
        <w:pageBreakBefore w:val="0"/>
        <w:widowControl/>
        <w:tabs>
          <w:tab w:val="left" w:pos="0"/>
        </w:tabs>
        <w:kinsoku/>
        <w:wordWrap/>
        <w:overflowPunct/>
        <w:topLinePunct w:val="0"/>
        <w:bidi w:val="0"/>
        <w:snapToGrid w:val="0"/>
        <w:spacing w:line="360" w:lineRule="auto"/>
        <w:ind w:left="105" w:leftChars="50" w:firstLine="360" w:firstLineChars="15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.5.3不同投标人委托同一单位或者个人办理投标事宜；</w:t>
      </w:r>
    </w:p>
    <w:p>
      <w:pPr>
        <w:keepNext w:val="0"/>
        <w:keepLines w:val="0"/>
        <w:pageBreakBefore w:val="0"/>
        <w:widowControl/>
        <w:tabs>
          <w:tab w:val="left" w:pos="0"/>
        </w:tabs>
        <w:kinsoku/>
        <w:wordWrap/>
        <w:overflowPunct/>
        <w:topLinePunct w:val="0"/>
        <w:bidi w:val="0"/>
        <w:snapToGrid w:val="0"/>
        <w:spacing w:line="360" w:lineRule="auto"/>
        <w:ind w:left="105" w:leftChars="50" w:firstLine="360" w:firstLineChars="15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.5.4不同投标人的投标文件载明的项目管理成员或者联系人员为同一人；　　</w:t>
      </w:r>
    </w:p>
    <w:p>
      <w:pPr>
        <w:keepNext w:val="0"/>
        <w:keepLines w:val="0"/>
        <w:pageBreakBefore w:val="0"/>
        <w:widowControl/>
        <w:tabs>
          <w:tab w:val="left" w:pos="0"/>
        </w:tabs>
        <w:kinsoku/>
        <w:wordWrap/>
        <w:overflowPunct/>
        <w:topLinePunct w:val="0"/>
        <w:bidi w:val="0"/>
        <w:snapToGrid w:val="0"/>
        <w:spacing w:line="360" w:lineRule="auto"/>
        <w:ind w:left="105" w:leftChars="50" w:firstLine="360" w:firstLineChars="15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.5.5不同投标人的投标文件相互混装；</w:t>
      </w:r>
    </w:p>
    <w:p>
      <w:pPr>
        <w:keepNext w:val="0"/>
        <w:keepLines w:val="0"/>
        <w:pageBreakBefore w:val="0"/>
        <w:widowControl/>
        <w:tabs>
          <w:tab w:val="left" w:pos="0"/>
        </w:tabs>
        <w:kinsoku/>
        <w:wordWrap/>
        <w:overflowPunct/>
        <w:topLinePunct w:val="0"/>
        <w:bidi w:val="0"/>
        <w:snapToGrid w:val="0"/>
        <w:spacing w:line="360" w:lineRule="auto"/>
        <w:ind w:left="105" w:leftChars="50" w:firstLine="360" w:firstLineChars="150"/>
        <w:contextualSpacing/>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5</w:t>
      </w:r>
      <w:r>
        <w:rPr>
          <w:rFonts w:hint="eastAsia" w:ascii="宋体" w:hAnsi="宋体" w:eastAsia="宋体" w:cs="宋体"/>
          <w:color w:val="auto"/>
          <w:sz w:val="24"/>
          <w:szCs w:val="24"/>
          <w:highlight w:val="none"/>
        </w:rPr>
        <w:t>.5.6不同投标人的投标保证金从同一单位或者个人的账户转出（若收取）。</w:t>
      </w:r>
    </w:p>
    <w:p>
      <w:pPr>
        <w:keepNext w:val="0"/>
        <w:keepLines w:val="0"/>
        <w:pageBreakBefore w:val="0"/>
        <w:widowControl/>
        <w:kinsoku/>
        <w:wordWrap/>
        <w:overflowPunct/>
        <w:topLinePunct w:val="0"/>
        <w:bidi w:val="0"/>
        <w:adjustRightInd w:val="0"/>
        <w:snapToGrid w:val="0"/>
        <w:spacing w:line="360" w:lineRule="auto"/>
        <w:ind w:left="19" w:leftChars="9" w:firstLine="456" w:firstLineChars="190"/>
        <w:jc w:val="left"/>
        <w:textAlignment w:val="baseline"/>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eastAsia="zh-CN"/>
        </w:rPr>
        <w:t>5</w:t>
      </w:r>
      <w:r>
        <w:rPr>
          <w:rFonts w:hint="eastAsia" w:ascii="宋体" w:hAnsi="宋体" w:eastAsia="宋体" w:cs="宋体"/>
          <w:color w:val="auto"/>
          <w:kern w:val="0"/>
          <w:sz w:val="24"/>
          <w:szCs w:val="24"/>
          <w:highlight w:val="none"/>
        </w:rPr>
        <w:t>.5.7 有证据证明投标人串通投标的其他情形的；</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eastAsia="zh-CN"/>
        </w:rPr>
        <w:t>5</w:t>
      </w:r>
      <w:r>
        <w:rPr>
          <w:rFonts w:hint="eastAsia" w:ascii="宋体" w:hAnsi="宋体" w:eastAsia="宋体" w:cs="宋体"/>
          <w:color w:val="auto"/>
          <w:kern w:val="0"/>
          <w:sz w:val="24"/>
          <w:szCs w:val="24"/>
          <w:highlight w:val="none"/>
        </w:rPr>
        <w:t>.5.</w:t>
      </w:r>
      <w:r>
        <w:rPr>
          <w:rFonts w:hint="eastAsia" w:ascii="宋体" w:hAnsi="宋体" w:eastAsia="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rPr>
        <w:t xml:space="preserve"> 评标委员会认定的其他串通投标情形。</w:t>
      </w:r>
    </w:p>
    <w:p>
      <w:pPr>
        <w:keepNext w:val="0"/>
        <w:keepLines w:val="0"/>
        <w:pageBreakBefore w:val="0"/>
        <w:widowControl/>
        <w:kinsoku/>
        <w:wordWrap/>
        <w:overflowPunct/>
        <w:topLinePunct w:val="0"/>
        <w:bidi w:val="0"/>
        <w:snapToGrid w:val="0"/>
        <w:spacing w:line="360" w:lineRule="auto"/>
        <w:ind w:firstLine="482" w:firstLineChars="20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2</w:t>
      </w:r>
      <w:r>
        <w:rPr>
          <w:rFonts w:hint="eastAsia" w:ascii="宋体" w:hAnsi="宋体" w:eastAsia="宋体" w:cs="宋体"/>
          <w:b/>
          <w:bCs/>
          <w:color w:val="auto"/>
          <w:kern w:val="0"/>
          <w:sz w:val="24"/>
          <w:szCs w:val="24"/>
          <w:highlight w:val="none"/>
          <w:lang w:val="en-US" w:eastAsia="zh-CN"/>
        </w:rPr>
        <w:t>6</w:t>
      </w:r>
      <w:r>
        <w:rPr>
          <w:rFonts w:hint="eastAsia" w:ascii="宋体" w:hAnsi="宋体" w:eastAsia="宋体" w:cs="宋体"/>
          <w:b/>
          <w:bCs/>
          <w:color w:val="auto"/>
          <w:kern w:val="0"/>
          <w:sz w:val="24"/>
          <w:szCs w:val="24"/>
          <w:highlight w:val="none"/>
        </w:rPr>
        <w:t>. 投标文件的澄清</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对投标文件中含义不明确、同类问题表述不一致或者有明显文字和计算错误的内容，评标委员会可以书面形式要求投标人作出必要的澄清。投标人的澄清应当在评标委员会规定的时间内以书面形式作出，由其投标人代表签字。但澄清事项不得超出投标文件的范围，不得实质性改变投标文件的内容，不得通过澄清等方式对投标人实行差别对待。评标委员会不得接受投标人主动提出的澄清和解释。</w:t>
      </w:r>
    </w:p>
    <w:p>
      <w:pPr>
        <w:keepNext w:val="0"/>
        <w:keepLines w:val="0"/>
        <w:pageBreakBefore w:val="0"/>
        <w:widowControl/>
        <w:kinsoku/>
        <w:wordWrap/>
        <w:overflowPunct/>
        <w:topLinePunct w:val="0"/>
        <w:bidi w:val="0"/>
        <w:snapToGrid w:val="0"/>
        <w:spacing w:line="360" w:lineRule="auto"/>
        <w:ind w:firstLine="482" w:firstLineChars="200"/>
        <w:jc w:val="left"/>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2</w:t>
      </w:r>
      <w:r>
        <w:rPr>
          <w:rFonts w:hint="eastAsia" w:ascii="宋体" w:hAnsi="宋体" w:eastAsia="宋体" w:cs="宋体"/>
          <w:b/>
          <w:bCs/>
          <w:color w:val="auto"/>
          <w:kern w:val="0"/>
          <w:sz w:val="24"/>
          <w:szCs w:val="24"/>
          <w:highlight w:val="none"/>
          <w:lang w:val="en-US" w:eastAsia="zh-CN"/>
        </w:rPr>
        <w:t>7</w:t>
      </w:r>
      <w:r>
        <w:rPr>
          <w:rFonts w:hint="eastAsia" w:ascii="宋体" w:hAnsi="宋体" w:eastAsia="宋体" w:cs="宋体"/>
          <w:b/>
          <w:bCs/>
          <w:color w:val="auto"/>
          <w:kern w:val="0"/>
          <w:sz w:val="24"/>
          <w:szCs w:val="24"/>
          <w:highlight w:val="none"/>
        </w:rPr>
        <w:t>. 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7</w:t>
      </w:r>
      <w:r>
        <w:rPr>
          <w:rFonts w:hint="eastAsia" w:ascii="宋体" w:hAnsi="宋体" w:eastAsia="宋体" w:cs="宋体"/>
          <w:color w:val="auto"/>
          <w:sz w:val="24"/>
          <w:szCs w:val="24"/>
          <w:highlight w:val="none"/>
        </w:rPr>
        <w:t>.1 评标委员会将按本</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文件规定的评标方法与标准，对资格性检查和符合性检查合格的投标文件进行商务和技术评估，综合比较与评价。</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7</w:t>
      </w:r>
      <w:r>
        <w:rPr>
          <w:rFonts w:hint="eastAsia" w:ascii="宋体" w:hAnsi="宋体" w:eastAsia="宋体" w:cs="宋体"/>
          <w:color w:val="auto"/>
          <w:sz w:val="24"/>
          <w:szCs w:val="24"/>
          <w:highlight w:val="none"/>
        </w:rPr>
        <w:t>.2对漏（缺）报项的处理：</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文件中要求列入报价的费用（含配置、功能），漏（缺）报的视同已含在投标总价中。</w:t>
      </w:r>
    </w:p>
    <w:p>
      <w:pPr>
        <w:pStyle w:val="28"/>
        <w:keepNext w:val="0"/>
        <w:keepLines w:val="0"/>
        <w:pageBreakBefore w:val="0"/>
        <w:widowControl/>
        <w:kinsoku/>
        <w:wordWrap/>
        <w:overflowPunct/>
        <w:topLinePunct w:val="0"/>
        <w:bidi w:val="0"/>
        <w:snapToGrid w:val="0"/>
        <w:spacing w:before="0" w:beforeAutospacing="0" w:after="0" w:afterAutospacing="0" w:line="360" w:lineRule="auto"/>
        <w:ind w:firstLine="480" w:firstLineChars="200"/>
        <w:jc w:val="both"/>
        <w:rPr>
          <w:rFonts w:hint="eastAsia" w:ascii="宋体" w:hAnsi="宋体" w:eastAsia="宋体" w:cs="宋体"/>
          <w:b/>
          <w:bCs/>
          <w:color w:val="auto"/>
          <w:sz w:val="24"/>
          <w:szCs w:val="24"/>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eastAsia="zh-CN"/>
        </w:rPr>
        <w:t>7</w:t>
      </w:r>
      <w:r>
        <w:rPr>
          <w:rFonts w:hint="eastAsia" w:ascii="宋体" w:hAnsi="宋体" w:eastAsia="宋体" w:cs="宋体"/>
          <w:color w:val="auto"/>
          <w:sz w:val="24"/>
          <w:szCs w:val="24"/>
          <w:highlight w:val="none"/>
        </w:rPr>
        <w:t>.3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keepNext w:val="0"/>
        <w:keepLines w:val="0"/>
        <w:pageBreakBefore w:val="0"/>
        <w:widowControl/>
        <w:kinsoku/>
        <w:wordWrap/>
        <w:overflowPunct/>
        <w:topLinePunct w:val="0"/>
        <w:bidi w:val="0"/>
        <w:snapToGrid w:val="0"/>
        <w:spacing w:line="360" w:lineRule="auto"/>
        <w:ind w:firstLine="482" w:firstLineChars="200"/>
        <w:jc w:val="left"/>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2</w:t>
      </w:r>
      <w:r>
        <w:rPr>
          <w:rFonts w:hint="eastAsia" w:ascii="宋体" w:hAnsi="宋体" w:eastAsia="宋体" w:cs="宋体"/>
          <w:b/>
          <w:bCs/>
          <w:color w:val="auto"/>
          <w:kern w:val="0"/>
          <w:sz w:val="24"/>
          <w:szCs w:val="24"/>
          <w:highlight w:val="none"/>
          <w:lang w:val="en-US" w:eastAsia="zh-CN"/>
        </w:rPr>
        <w:t>8</w:t>
      </w:r>
      <w:r>
        <w:rPr>
          <w:rFonts w:hint="eastAsia" w:ascii="宋体" w:hAnsi="宋体" w:eastAsia="宋体" w:cs="宋体"/>
          <w:b/>
          <w:bCs/>
          <w:color w:val="auto"/>
          <w:kern w:val="0"/>
          <w:sz w:val="24"/>
          <w:szCs w:val="24"/>
          <w:highlight w:val="none"/>
        </w:rPr>
        <w:t>. 评标过程及保密原则</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rPr>
        <w:t>.1 凡与本次</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有关人员对属于审查、澄清、评价和比较投标的有关资料以及定标意向等，均不得向投标人或其他人员透露。否则,将按有关规定追究相关人员的责任。</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color w:val="auto"/>
          <w:kern w:val="0"/>
          <w:sz w:val="24"/>
          <w:szCs w:val="24"/>
          <w:highlight w:val="none"/>
        </w:rPr>
        <w:t>2</w:t>
      </w:r>
      <w:r>
        <w:rPr>
          <w:rFonts w:hint="eastAsia" w:ascii="宋体" w:hAnsi="宋体" w:eastAsia="宋体" w:cs="宋体"/>
          <w:color w:val="auto"/>
          <w:kern w:val="0"/>
          <w:sz w:val="24"/>
          <w:szCs w:val="24"/>
          <w:highlight w:val="none"/>
          <w:lang w:val="en-US" w:eastAsia="zh-CN"/>
        </w:rPr>
        <w:t>8</w:t>
      </w:r>
      <w:r>
        <w:rPr>
          <w:rFonts w:hint="eastAsia" w:ascii="宋体" w:hAnsi="宋体" w:eastAsia="宋体" w:cs="宋体"/>
          <w:color w:val="auto"/>
          <w:kern w:val="0"/>
          <w:sz w:val="24"/>
          <w:szCs w:val="24"/>
          <w:highlight w:val="none"/>
        </w:rPr>
        <w:t>.2 在评标期间，投标人试图影响或干预评审的任何行为，将导致其投标被作为无效投标，并承担相应的法律责任。</w:t>
      </w:r>
    </w:p>
    <w:p>
      <w:pPr>
        <w:keepNext w:val="0"/>
        <w:keepLines w:val="0"/>
        <w:pageBreakBefore w:val="0"/>
        <w:widowControl/>
        <w:kinsoku/>
        <w:wordWrap/>
        <w:overflowPunct/>
        <w:topLinePunct w:val="0"/>
        <w:bidi w:val="0"/>
        <w:snapToGrid w:val="0"/>
        <w:spacing w:line="360" w:lineRule="auto"/>
        <w:ind w:firstLine="482" w:firstLineChars="200"/>
        <w:jc w:val="left"/>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lang w:val="en-US" w:eastAsia="zh-CN"/>
        </w:rPr>
        <w:t>29</w:t>
      </w:r>
      <w:r>
        <w:rPr>
          <w:rFonts w:hint="eastAsia" w:ascii="宋体" w:hAnsi="宋体" w:eastAsia="宋体" w:cs="宋体"/>
          <w:b/>
          <w:color w:val="auto"/>
          <w:kern w:val="0"/>
          <w:sz w:val="24"/>
          <w:szCs w:val="24"/>
          <w:highlight w:val="none"/>
        </w:rPr>
        <w:t>.评标异议登记</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32"/>
          <w:szCs w:val="32"/>
          <w:highlight w:val="none"/>
        </w:rPr>
      </w:pPr>
      <w:r>
        <w:rPr>
          <w:rFonts w:hint="eastAsia" w:ascii="宋体" w:hAnsi="宋体" w:eastAsia="宋体" w:cs="宋体"/>
          <w:bCs/>
          <w:color w:val="auto"/>
          <w:kern w:val="0"/>
          <w:sz w:val="24"/>
          <w:szCs w:val="24"/>
          <w:highlight w:val="none"/>
        </w:rPr>
        <w:t>采购人</w:t>
      </w:r>
      <w:r>
        <w:rPr>
          <w:rFonts w:hint="eastAsia" w:ascii="宋体" w:hAnsi="宋体" w:eastAsia="宋体" w:cs="宋体"/>
          <w:color w:val="auto"/>
          <w:kern w:val="0"/>
          <w:sz w:val="24"/>
          <w:szCs w:val="24"/>
          <w:highlight w:val="none"/>
        </w:rPr>
        <w:t>工作人员对评审专家等相关人员在评审过程中发现、提出的异议进行逐项登记。</w:t>
      </w:r>
    </w:p>
    <w:p>
      <w:pPr>
        <w:keepNext w:val="0"/>
        <w:keepLines w:val="0"/>
        <w:pageBreakBefore w:val="0"/>
        <w:widowControl/>
        <w:kinsoku/>
        <w:wordWrap/>
        <w:overflowPunct/>
        <w:topLinePunct w:val="0"/>
        <w:bidi w:val="0"/>
        <w:snapToGrid w:val="0"/>
        <w:spacing w:line="360" w:lineRule="auto"/>
        <w:ind w:firstLine="3050"/>
        <w:jc w:val="left"/>
        <w:rPr>
          <w:rFonts w:hint="eastAsia" w:ascii="宋体" w:hAnsi="宋体" w:eastAsia="宋体" w:cs="宋体"/>
          <w:color w:val="auto"/>
          <w:kern w:val="0"/>
          <w:sz w:val="32"/>
          <w:szCs w:val="32"/>
          <w:highlight w:val="none"/>
        </w:rPr>
      </w:pPr>
      <w:r>
        <w:rPr>
          <w:rFonts w:hint="eastAsia" w:ascii="宋体" w:hAnsi="宋体" w:eastAsia="宋体" w:cs="宋体"/>
          <w:b/>
          <w:bCs/>
          <w:color w:val="auto"/>
          <w:kern w:val="0"/>
          <w:sz w:val="32"/>
          <w:szCs w:val="32"/>
          <w:highlight w:val="none"/>
          <w:lang w:val="en-US" w:eastAsia="zh-CN"/>
        </w:rPr>
        <w:t>六</w:t>
      </w:r>
      <w:r>
        <w:rPr>
          <w:rFonts w:hint="eastAsia" w:ascii="宋体" w:hAnsi="宋体" w:eastAsia="宋体" w:cs="宋体"/>
          <w:b/>
          <w:bCs/>
          <w:color w:val="auto"/>
          <w:kern w:val="0"/>
          <w:sz w:val="32"/>
          <w:szCs w:val="32"/>
          <w:highlight w:val="none"/>
        </w:rPr>
        <w:t>、定标</w:t>
      </w:r>
    </w:p>
    <w:p>
      <w:pPr>
        <w:keepNext w:val="0"/>
        <w:keepLines w:val="0"/>
        <w:pageBreakBefore w:val="0"/>
        <w:widowControl/>
        <w:kinsoku/>
        <w:wordWrap/>
        <w:overflowPunct/>
        <w:topLinePunct w:val="0"/>
        <w:bidi w:val="0"/>
        <w:snapToGrid w:val="0"/>
        <w:spacing w:line="360" w:lineRule="auto"/>
        <w:ind w:firstLine="482" w:firstLineChars="200"/>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eastAsia="宋体" w:cs="宋体"/>
          <w:b/>
          <w:bCs/>
          <w:color w:val="auto"/>
          <w:kern w:val="0"/>
          <w:sz w:val="24"/>
          <w:szCs w:val="24"/>
          <w:highlight w:val="none"/>
          <w:lang w:val="en-US" w:eastAsia="zh-CN"/>
        </w:rPr>
        <w:t>0</w:t>
      </w:r>
      <w:r>
        <w:rPr>
          <w:rFonts w:hint="eastAsia" w:ascii="宋体" w:hAnsi="宋体" w:eastAsia="宋体" w:cs="宋体"/>
          <w:b/>
          <w:bCs/>
          <w:color w:val="auto"/>
          <w:kern w:val="0"/>
          <w:sz w:val="24"/>
          <w:szCs w:val="24"/>
          <w:highlight w:val="none"/>
        </w:rPr>
        <w:t>. 定标原则</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0</w:t>
      </w:r>
      <w:r>
        <w:rPr>
          <w:rFonts w:hint="eastAsia" w:ascii="宋体" w:hAnsi="宋体" w:eastAsia="宋体" w:cs="宋体"/>
          <w:bCs/>
          <w:color w:val="auto"/>
          <w:kern w:val="0"/>
          <w:sz w:val="24"/>
          <w:szCs w:val="24"/>
          <w:highlight w:val="none"/>
        </w:rPr>
        <w:t>.1 最低投标价不作为中标的保证。</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0</w:t>
      </w:r>
      <w:r>
        <w:rPr>
          <w:rFonts w:hint="eastAsia" w:ascii="宋体" w:hAnsi="宋体" w:eastAsia="宋体" w:cs="宋体"/>
          <w:bCs/>
          <w:color w:val="auto"/>
          <w:kern w:val="0"/>
          <w:sz w:val="24"/>
          <w:szCs w:val="24"/>
          <w:highlight w:val="none"/>
        </w:rPr>
        <w:t>.2 确定实质上响应</w:t>
      </w:r>
      <w:r>
        <w:rPr>
          <w:rFonts w:hint="eastAsia" w:ascii="宋体" w:hAnsi="宋体" w:eastAsia="宋体" w:cs="宋体"/>
          <w:bCs/>
          <w:color w:val="auto"/>
          <w:kern w:val="0"/>
          <w:sz w:val="24"/>
          <w:szCs w:val="24"/>
          <w:highlight w:val="none"/>
          <w:lang w:val="en-US" w:eastAsia="zh-CN"/>
        </w:rPr>
        <w:t>采购</w:t>
      </w:r>
      <w:r>
        <w:rPr>
          <w:rFonts w:hint="eastAsia" w:ascii="宋体" w:hAnsi="宋体" w:eastAsia="宋体" w:cs="宋体"/>
          <w:bCs/>
          <w:color w:val="auto"/>
          <w:kern w:val="0"/>
          <w:sz w:val="24"/>
          <w:szCs w:val="24"/>
          <w:highlight w:val="none"/>
        </w:rPr>
        <w:t>文件且满足下列条件的为中标候选人（或中标人）</w:t>
      </w:r>
    </w:p>
    <w:p>
      <w:pPr>
        <w:keepNext w:val="0"/>
        <w:keepLines w:val="0"/>
        <w:pageBreakBefore w:val="0"/>
        <w:kinsoku/>
        <w:wordWrap/>
        <w:overflowPunct/>
        <w:topLinePunct w:val="0"/>
        <w:bidi w:val="0"/>
        <w:snapToGrid w:val="0"/>
        <w:spacing w:line="360" w:lineRule="auto"/>
        <w:ind w:firstLine="480" w:firstLineChars="200"/>
        <w:rPr>
          <w:rFonts w:hint="eastAsia" w:ascii="宋体" w:hAnsi="宋体" w:eastAsia="宋体" w:cs="宋体"/>
          <w:color w:val="auto"/>
          <w:sz w:val="24"/>
          <w:szCs w:val="24"/>
          <w:highlight w:val="none"/>
        </w:rPr>
      </w:pPr>
      <w:bookmarkStart w:id="44" w:name="_Toc32200"/>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0</w:t>
      </w:r>
      <w:r>
        <w:rPr>
          <w:rFonts w:hint="eastAsia" w:ascii="宋体" w:hAnsi="宋体" w:eastAsia="宋体" w:cs="宋体"/>
          <w:bCs/>
          <w:color w:val="auto"/>
          <w:kern w:val="0"/>
          <w:sz w:val="24"/>
          <w:szCs w:val="24"/>
          <w:highlight w:val="none"/>
        </w:rPr>
        <w:t>.2.1</w:t>
      </w:r>
      <w:bookmarkEnd w:id="44"/>
      <w:r>
        <w:rPr>
          <w:rFonts w:hint="eastAsia" w:ascii="宋体" w:hAnsi="宋体" w:eastAsia="宋体" w:cs="宋体"/>
          <w:bCs/>
          <w:color w:val="auto"/>
          <w:kern w:val="0"/>
          <w:sz w:val="24"/>
          <w:szCs w:val="24"/>
          <w:highlight w:val="none"/>
        </w:rPr>
        <w:t>本次评标采用</w:t>
      </w:r>
      <w:r>
        <w:rPr>
          <w:rFonts w:hint="eastAsia" w:ascii="宋体" w:hAnsi="宋体" w:eastAsia="宋体" w:cs="宋体"/>
          <w:color w:val="auto"/>
          <w:sz w:val="24"/>
          <w:szCs w:val="24"/>
          <w:highlight w:val="none"/>
        </w:rPr>
        <w:t>综合评分法，是指响应文件满足采购文件全部实质性要求，且按照评审因素的量化指标评审得分最高的投标人为中标候选人的评标方法。</w:t>
      </w:r>
    </w:p>
    <w:p>
      <w:pPr>
        <w:keepNext w:val="0"/>
        <w:keepLines w:val="0"/>
        <w:pageBreakBefore w:val="0"/>
        <w:kinsoku/>
        <w:wordWrap/>
        <w:overflowPunct/>
        <w:topLinePunct w:val="0"/>
        <w:bidi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采用综合评分法的，评标结果按评审后得分由高到低顺序排列。投标文件满足</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全部实质性要求，且按照评审因素的量化指标评审得分最高的投标人为排名第一的中标候选人，以此类推。得分相同的，按投标报价由低到高顺序排列。得分且投标报价相同的，按技术部分得分顺序排列。得分与技术指标优劣均相同的，通过随机抽取产生。</w:t>
      </w:r>
    </w:p>
    <w:p>
      <w:pPr>
        <w:keepNext w:val="0"/>
        <w:keepLines w:val="0"/>
        <w:pageBreakBefore w:val="0"/>
        <w:widowControl/>
        <w:kinsoku/>
        <w:wordWrap/>
        <w:overflowPunct/>
        <w:topLinePunct w:val="0"/>
        <w:bidi w:val="0"/>
        <w:snapToGrid w:val="0"/>
        <w:spacing w:line="360" w:lineRule="auto"/>
        <w:ind w:firstLine="482" w:firstLineChars="200"/>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eastAsia="宋体" w:cs="宋体"/>
          <w:b/>
          <w:bCs/>
          <w:color w:val="auto"/>
          <w:kern w:val="0"/>
          <w:sz w:val="24"/>
          <w:szCs w:val="24"/>
          <w:highlight w:val="none"/>
          <w:lang w:val="en-US" w:eastAsia="zh-CN"/>
        </w:rPr>
        <w:t>1</w:t>
      </w:r>
      <w:r>
        <w:rPr>
          <w:rFonts w:hint="eastAsia" w:ascii="宋体" w:hAnsi="宋体" w:eastAsia="宋体" w:cs="宋体"/>
          <w:b/>
          <w:bCs/>
          <w:color w:val="auto"/>
          <w:kern w:val="0"/>
          <w:sz w:val="24"/>
          <w:szCs w:val="24"/>
          <w:highlight w:val="none"/>
        </w:rPr>
        <w:t>. 确定中标人和中标候选人</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bCs/>
          <w:color w:val="auto"/>
          <w:kern w:val="0"/>
          <w:sz w:val="24"/>
          <w:szCs w:val="24"/>
          <w:highlight w:val="none"/>
        </w:rPr>
        <w:t>本项目由采购人授权评标委员会确定一名中标人并推荐两名中标候选人</w:t>
      </w:r>
      <w:r>
        <w:rPr>
          <w:rFonts w:hint="eastAsia" w:ascii="宋体" w:hAnsi="宋体" w:eastAsia="宋体" w:cs="宋体"/>
          <w:color w:val="auto"/>
          <w:kern w:val="0"/>
          <w:sz w:val="24"/>
          <w:szCs w:val="24"/>
          <w:highlight w:val="none"/>
        </w:rPr>
        <w:t>。</w:t>
      </w:r>
    </w:p>
    <w:p>
      <w:pPr>
        <w:keepNext w:val="0"/>
        <w:keepLines w:val="0"/>
        <w:pageBreakBefore w:val="0"/>
        <w:widowControl/>
        <w:kinsoku/>
        <w:wordWrap/>
        <w:overflowPunct/>
        <w:topLinePunct w:val="0"/>
        <w:bidi w:val="0"/>
        <w:snapToGrid w:val="0"/>
        <w:spacing w:line="360" w:lineRule="auto"/>
        <w:ind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eastAsia="宋体" w:cs="宋体"/>
          <w:b/>
          <w:bCs/>
          <w:color w:val="auto"/>
          <w:kern w:val="0"/>
          <w:sz w:val="24"/>
          <w:szCs w:val="24"/>
          <w:highlight w:val="none"/>
          <w:lang w:val="en-US" w:eastAsia="zh-CN"/>
        </w:rPr>
        <w:t>2</w:t>
      </w:r>
      <w:r>
        <w:rPr>
          <w:rFonts w:hint="eastAsia" w:ascii="宋体" w:hAnsi="宋体" w:eastAsia="宋体" w:cs="宋体"/>
          <w:b/>
          <w:bCs/>
          <w:color w:val="auto"/>
          <w:kern w:val="0"/>
          <w:sz w:val="24"/>
          <w:szCs w:val="24"/>
          <w:highlight w:val="none"/>
        </w:rPr>
        <w:t>. 中标通知书及中标公告</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.1评审结束后，</w:t>
      </w:r>
      <w:r>
        <w:rPr>
          <w:rFonts w:hint="eastAsia" w:ascii="宋体" w:hAnsi="宋体" w:eastAsia="宋体" w:cs="宋体"/>
          <w:color w:val="auto"/>
          <w:kern w:val="0"/>
          <w:sz w:val="24"/>
          <w:szCs w:val="24"/>
          <w:highlight w:val="none"/>
          <w:lang w:eastAsia="zh-CN"/>
        </w:rPr>
        <w:t>采购</w:t>
      </w:r>
      <w:r>
        <w:rPr>
          <w:rFonts w:hint="eastAsia" w:ascii="宋体" w:hAnsi="宋体" w:eastAsia="宋体" w:cs="宋体"/>
          <w:color w:val="auto"/>
          <w:kern w:val="0"/>
          <w:sz w:val="24"/>
          <w:szCs w:val="24"/>
          <w:highlight w:val="none"/>
        </w:rPr>
        <w:t>人将中标候选人的情况在本</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项目</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公告发布的同一媒介予以公示，公示</w:t>
      </w:r>
      <w:r>
        <w:rPr>
          <w:rFonts w:hint="eastAsia" w:ascii="宋体" w:hAnsi="宋体" w:eastAsia="宋体" w:cs="宋体"/>
          <w:color w:val="auto"/>
          <w:kern w:val="0"/>
          <w:sz w:val="24"/>
          <w:szCs w:val="24"/>
          <w:highlight w:val="none"/>
          <w:lang w:eastAsia="zh-CN"/>
        </w:rPr>
        <w:t>期限</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eastAsia="zh-CN"/>
        </w:rPr>
        <w:t>个工作日</w:t>
      </w:r>
      <w:r>
        <w:rPr>
          <w:rFonts w:hint="eastAsia" w:ascii="宋体" w:hAnsi="宋体" w:eastAsia="宋体" w:cs="宋体"/>
          <w:color w:val="auto"/>
          <w:kern w:val="0"/>
          <w:sz w:val="24"/>
          <w:szCs w:val="24"/>
          <w:highlight w:val="none"/>
        </w:rPr>
        <w:t>，</w:t>
      </w:r>
      <w:r>
        <w:rPr>
          <w:rFonts w:hint="eastAsia" w:ascii="宋体" w:hAnsi="宋体" w:eastAsia="宋体" w:cs="宋体"/>
          <w:color w:val="auto"/>
          <w:kern w:val="0"/>
          <w:sz w:val="24"/>
          <w:szCs w:val="24"/>
          <w:highlight w:val="none"/>
          <w:lang w:val="en-US" w:eastAsia="zh-CN"/>
        </w:rPr>
        <w:t>公示期结束后</w:t>
      </w:r>
      <w:r>
        <w:rPr>
          <w:rFonts w:hint="eastAsia" w:ascii="宋体" w:hAnsi="宋体" w:eastAsia="宋体" w:cs="宋体"/>
          <w:color w:val="auto"/>
          <w:kern w:val="0"/>
          <w:sz w:val="24"/>
          <w:szCs w:val="24"/>
          <w:highlight w:val="none"/>
        </w:rPr>
        <w:t>向中标人发出中标通知书。</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.2中标人在规定的时间内不领取中标通知书的，视为中标后自动放弃中标资格；中标人在有效报价中报价最低,非不可抗力放弃中标资格的。发生上述情况的承担由此引起的一切后果。</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color w:val="auto"/>
          <w:kern w:val="0"/>
          <w:sz w:val="24"/>
          <w:szCs w:val="24"/>
          <w:highlight w:val="none"/>
        </w:rPr>
        <w:t>.3中标通知书对采购人和中标人具有同等法律效力。中标通知书发出后，采购人改变中标结果，或者中标人放弃中标，应按相关法律、规章、规范性文件的要求承担相应的法律责任。</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2</w:t>
      </w:r>
      <w:r>
        <w:rPr>
          <w:rFonts w:hint="eastAsia" w:ascii="宋体" w:hAnsi="宋体" w:eastAsia="宋体" w:cs="宋体"/>
          <w:bCs/>
          <w:color w:val="auto"/>
          <w:kern w:val="0"/>
          <w:sz w:val="24"/>
          <w:szCs w:val="24"/>
          <w:highlight w:val="none"/>
        </w:rPr>
        <w:t>.4中标通知书将作为签订合同的依据。合同签订后，中标通知书成为合同的一部分。</w:t>
      </w:r>
    </w:p>
    <w:p>
      <w:pPr>
        <w:keepNext w:val="0"/>
        <w:keepLines w:val="0"/>
        <w:pageBreakBefore w:val="0"/>
        <w:widowControl/>
        <w:kinsoku/>
        <w:wordWrap/>
        <w:overflowPunct/>
        <w:topLinePunct w:val="0"/>
        <w:bidi w:val="0"/>
        <w:snapToGrid w:val="0"/>
        <w:spacing w:line="360" w:lineRule="auto"/>
        <w:ind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eastAsia="宋体" w:cs="宋体"/>
          <w:b/>
          <w:bCs/>
          <w:color w:val="auto"/>
          <w:kern w:val="0"/>
          <w:sz w:val="24"/>
          <w:szCs w:val="24"/>
          <w:highlight w:val="none"/>
          <w:lang w:val="en-US" w:eastAsia="zh-CN"/>
        </w:rPr>
        <w:t>3</w:t>
      </w:r>
      <w:r>
        <w:rPr>
          <w:rFonts w:hint="eastAsia" w:ascii="宋体" w:hAnsi="宋体" w:eastAsia="宋体" w:cs="宋体"/>
          <w:b/>
          <w:bCs/>
          <w:color w:val="auto"/>
          <w:kern w:val="0"/>
          <w:sz w:val="24"/>
          <w:szCs w:val="24"/>
          <w:highlight w:val="none"/>
        </w:rPr>
        <w:t>. 采购人宣布废标的权利</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.1出现下列情况之一时，采购人有权宣布废标，并将理由通知所有投标人：</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.1.1出现影响采购公正的违法、违规行为的。</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.1.2投标人的报价均超过了</w:t>
      </w:r>
      <w:r>
        <w:rPr>
          <w:rFonts w:hint="eastAsia" w:ascii="宋体" w:hAnsi="宋体" w:eastAsia="宋体" w:cs="宋体"/>
          <w:bCs/>
          <w:color w:val="auto"/>
          <w:kern w:val="0"/>
          <w:sz w:val="24"/>
          <w:szCs w:val="24"/>
          <w:highlight w:val="none"/>
          <w:lang w:val="en-US" w:eastAsia="zh-CN"/>
        </w:rPr>
        <w:t>采购预算金额</w:t>
      </w:r>
      <w:r>
        <w:rPr>
          <w:rFonts w:hint="eastAsia" w:ascii="宋体" w:hAnsi="宋体" w:eastAsia="宋体" w:cs="宋体"/>
          <w:bCs/>
          <w:color w:val="auto"/>
          <w:kern w:val="0"/>
          <w:sz w:val="24"/>
          <w:szCs w:val="24"/>
          <w:highlight w:val="none"/>
        </w:rPr>
        <w:t>，采购人不能支付的。</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bCs/>
          <w:color w:val="auto"/>
          <w:kern w:val="0"/>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bCs/>
          <w:color w:val="auto"/>
          <w:kern w:val="0"/>
          <w:sz w:val="24"/>
          <w:szCs w:val="24"/>
          <w:highlight w:val="none"/>
        </w:rPr>
        <w:t>.1.3因重大变故，采购任务取消的。</w:t>
      </w:r>
    </w:p>
    <w:p>
      <w:pPr>
        <w:keepNext w:val="0"/>
        <w:keepLines w:val="0"/>
        <w:pageBreakBefore w:val="0"/>
        <w:kinsoku/>
        <w:wordWrap/>
        <w:overflowPunct/>
        <w:topLinePunct w:val="0"/>
        <w:bidi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bCs/>
          <w:color w:val="auto"/>
          <w:kern w:val="0"/>
          <w:sz w:val="24"/>
          <w:szCs w:val="24"/>
          <w:highlight w:val="none"/>
        </w:rPr>
        <w:t>3</w:t>
      </w:r>
      <w:r>
        <w:rPr>
          <w:rFonts w:hint="eastAsia" w:ascii="宋体" w:hAnsi="宋体" w:eastAsia="宋体" w:cs="宋体"/>
          <w:bCs/>
          <w:color w:val="auto"/>
          <w:kern w:val="0"/>
          <w:sz w:val="24"/>
          <w:szCs w:val="24"/>
          <w:highlight w:val="none"/>
          <w:lang w:val="en-US" w:eastAsia="zh-CN"/>
        </w:rPr>
        <w:t>3</w:t>
      </w:r>
      <w:r>
        <w:rPr>
          <w:rFonts w:hint="eastAsia" w:ascii="宋体" w:hAnsi="宋体" w:eastAsia="宋体" w:cs="宋体"/>
          <w:color w:val="auto"/>
          <w:kern w:val="0"/>
          <w:sz w:val="24"/>
          <w:szCs w:val="24"/>
          <w:highlight w:val="none"/>
        </w:rPr>
        <w:t xml:space="preserve">.2 </w:t>
      </w:r>
      <w:r>
        <w:rPr>
          <w:rFonts w:hint="eastAsia" w:ascii="宋体" w:hAnsi="宋体" w:eastAsia="宋体" w:cs="宋体"/>
          <w:color w:val="auto"/>
          <w:sz w:val="24"/>
          <w:szCs w:val="24"/>
          <w:highlight w:val="none"/>
        </w:rPr>
        <w:t>投标截止后投标人不足3家或通过资格性检查或符合性检查的投标人不足3家的，除采购任务取消情形外，按照以下方式处理：</w:t>
      </w:r>
    </w:p>
    <w:p>
      <w:pPr>
        <w:keepNext w:val="0"/>
        <w:keepLines w:val="0"/>
        <w:pageBreakBefore w:val="0"/>
        <w:numPr>
          <w:ilvl w:val="0"/>
          <w:numId w:val="3"/>
        </w:numPr>
        <w:kinsoku/>
        <w:wordWrap/>
        <w:overflowPunct/>
        <w:topLinePunct w:val="0"/>
        <w:bidi w:val="0"/>
        <w:snapToGrid w:val="0"/>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文件存在不合理条款或者招标程序不符合规定的，采购人正后依法重新招标；　</w:t>
      </w:r>
    </w:p>
    <w:p>
      <w:pPr>
        <w:keepNext w:val="0"/>
        <w:keepLines w:val="0"/>
        <w:pageBreakBefore w:val="0"/>
        <w:kinsoku/>
        <w:wordWrap/>
        <w:overflowPunct/>
        <w:topLinePunct w:val="0"/>
        <w:bidi w:val="0"/>
        <w:snapToGrid w:val="0"/>
        <w:spacing w:line="360" w:lineRule="auto"/>
        <w:ind w:firstLine="480" w:firstLineChars="200"/>
        <w:rPr>
          <w:rFonts w:hint="eastAsia" w:ascii="宋体" w:hAnsi="宋体" w:eastAsia="宋体" w:cs="宋体"/>
          <w:b/>
          <w:color w:val="auto"/>
          <w:kern w:val="0"/>
          <w:sz w:val="72"/>
          <w:szCs w:val="72"/>
          <w:highlight w:val="none"/>
        </w:rPr>
      </w:pP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lang w:val="en-US" w:eastAsia="zh-CN"/>
        </w:rPr>
        <w:t>采购</w:t>
      </w:r>
      <w:r>
        <w:rPr>
          <w:rFonts w:hint="eastAsia" w:ascii="宋体" w:hAnsi="宋体" w:eastAsia="宋体" w:cs="宋体"/>
          <w:color w:val="auto"/>
          <w:sz w:val="24"/>
          <w:szCs w:val="24"/>
          <w:highlight w:val="none"/>
        </w:rPr>
        <w:t>文件没有不合理条款、招标程序符合规定，需要采用其他采购方式采购的，采购人应当依法报财政部门批准。</w:t>
      </w:r>
    </w:p>
    <w:p>
      <w:pPr>
        <w:keepNext w:val="0"/>
        <w:keepLines w:val="0"/>
        <w:pageBreakBefore w:val="0"/>
        <w:widowControl/>
        <w:kinsoku/>
        <w:wordWrap/>
        <w:overflowPunct/>
        <w:topLinePunct w:val="0"/>
        <w:bidi w:val="0"/>
        <w:snapToGrid w:val="0"/>
        <w:spacing w:line="360" w:lineRule="auto"/>
        <w:ind w:firstLine="2570" w:firstLineChars="800"/>
        <w:jc w:val="left"/>
        <w:rPr>
          <w:rFonts w:hint="eastAsia" w:ascii="宋体" w:hAnsi="宋体" w:eastAsia="宋体" w:cs="宋体"/>
          <w:color w:val="auto"/>
          <w:kern w:val="0"/>
          <w:sz w:val="28"/>
          <w:szCs w:val="28"/>
          <w:highlight w:val="none"/>
        </w:rPr>
      </w:pPr>
      <w:r>
        <w:rPr>
          <w:rFonts w:hint="eastAsia" w:ascii="宋体" w:hAnsi="宋体" w:eastAsia="宋体" w:cs="宋体"/>
          <w:b/>
          <w:bCs/>
          <w:color w:val="auto"/>
          <w:kern w:val="0"/>
          <w:sz w:val="32"/>
          <w:szCs w:val="32"/>
          <w:highlight w:val="none"/>
          <w:lang w:val="en-US" w:eastAsia="zh-CN"/>
        </w:rPr>
        <w:t>七</w:t>
      </w:r>
      <w:r>
        <w:rPr>
          <w:rFonts w:hint="eastAsia" w:ascii="宋体" w:hAnsi="宋体" w:eastAsia="宋体" w:cs="宋体"/>
          <w:b/>
          <w:bCs/>
          <w:color w:val="auto"/>
          <w:kern w:val="0"/>
          <w:sz w:val="32"/>
          <w:szCs w:val="32"/>
          <w:highlight w:val="none"/>
        </w:rPr>
        <w:t>、合同授予</w:t>
      </w:r>
    </w:p>
    <w:p>
      <w:pPr>
        <w:keepNext w:val="0"/>
        <w:keepLines w:val="0"/>
        <w:pageBreakBefore w:val="0"/>
        <w:widowControl/>
        <w:kinsoku/>
        <w:wordWrap/>
        <w:overflowPunct/>
        <w:topLinePunct w:val="0"/>
        <w:bidi w:val="0"/>
        <w:snapToGrid w:val="0"/>
        <w:spacing w:line="360" w:lineRule="auto"/>
        <w:ind w:firstLine="540" w:firstLineChars="224"/>
        <w:rPr>
          <w:rFonts w:hint="eastAsia" w:ascii="宋体" w:hAnsi="宋体" w:eastAsia="宋体" w:cs="宋体"/>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eastAsia="宋体" w:cs="宋体"/>
          <w:b/>
          <w:bCs/>
          <w:color w:val="auto"/>
          <w:kern w:val="0"/>
          <w:sz w:val="24"/>
          <w:szCs w:val="24"/>
          <w:highlight w:val="none"/>
          <w:lang w:val="en-US" w:eastAsia="zh-CN"/>
        </w:rPr>
        <w:t>4</w:t>
      </w:r>
      <w:r>
        <w:rPr>
          <w:rFonts w:hint="eastAsia" w:ascii="宋体" w:hAnsi="宋体" w:eastAsia="宋体" w:cs="宋体"/>
          <w:b/>
          <w:bCs/>
          <w:color w:val="auto"/>
          <w:kern w:val="0"/>
          <w:sz w:val="24"/>
          <w:szCs w:val="24"/>
          <w:highlight w:val="none"/>
        </w:rPr>
        <w:t>.合同签订</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u w:val="single"/>
        </w:rPr>
      </w:pPr>
      <w:bookmarkStart w:id="45" w:name="_Toc8594"/>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.1 采购人、中标人自中标通知书发出之日起，在</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文件第三章《投标人须知前附表》规定的时间内，根据</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文件确定的事项和中标人投标文件签订合同。双方所签订的合同不得对</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文件和中标人投标文件作实质性修改。</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 xml:space="preserve">.2 </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文件的修改文件、中标人的投标文件、补充或修改的文件及澄清或承诺文件等，均为双方签订合同的组成部分，并与合同一并作为本</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文件所列采购项目的互补性法律文件，与合同具有同等法律效力。</w:t>
      </w:r>
    </w:p>
    <w:p>
      <w:pPr>
        <w:keepNext w:val="0"/>
        <w:keepLines w:val="0"/>
        <w:pageBreakBefore w:val="0"/>
        <w:widowControl/>
        <w:kinsoku/>
        <w:wordWrap/>
        <w:overflowPunct/>
        <w:topLinePunct w:val="0"/>
        <w:bidi w:val="0"/>
        <w:snapToGrid w:val="0"/>
        <w:spacing w:line="360" w:lineRule="auto"/>
        <w:ind w:firstLine="480" w:firstLineChars="200"/>
        <w:jc w:val="left"/>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3</w:t>
      </w:r>
      <w:r>
        <w:rPr>
          <w:rFonts w:hint="eastAsia" w:ascii="宋体" w:hAnsi="宋体" w:eastAsia="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rPr>
        <w:t>.3 中标人放弃中标、因不可抗力不能履行合同、不按照</w:t>
      </w:r>
      <w:r>
        <w:rPr>
          <w:rFonts w:hint="eastAsia" w:ascii="宋体" w:hAnsi="宋体" w:eastAsia="宋体" w:cs="宋体"/>
          <w:color w:val="auto"/>
          <w:kern w:val="0"/>
          <w:sz w:val="24"/>
          <w:szCs w:val="24"/>
          <w:highlight w:val="none"/>
          <w:lang w:val="en-US" w:eastAsia="zh-CN"/>
        </w:rPr>
        <w:t>采购</w:t>
      </w:r>
      <w:r>
        <w:rPr>
          <w:rFonts w:hint="eastAsia" w:ascii="宋体" w:hAnsi="宋体" w:eastAsia="宋体" w:cs="宋体"/>
          <w:color w:val="auto"/>
          <w:kern w:val="0"/>
          <w:sz w:val="24"/>
          <w:szCs w:val="24"/>
          <w:highlight w:val="none"/>
        </w:rPr>
        <w:t>文件要求提交履约保证金，或者被查实存在影响中标结果的违法行为等情形，不符合中标条件的，采购人可以按照评标委员会提出的中标候选人名单排序依次确定其他中标候选人为中标人，也可以重新招标。</w:t>
      </w:r>
    </w:p>
    <w:bookmarkEnd w:id="45"/>
    <w:p>
      <w:pPr>
        <w:rPr>
          <w:rFonts w:hint="eastAsia" w:ascii="宋体" w:hAnsi="宋体" w:eastAsia="宋体" w:cs="宋体"/>
          <w:color w:val="auto"/>
          <w:sz w:val="24"/>
          <w:szCs w:val="32"/>
          <w:highlight w:val="none"/>
        </w:rPr>
      </w:pPr>
      <w:bookmarkStart w:id="46" w:name="_Toc4700"/>
      <w:bookmarkStart w:id="47" w:name="_Toc16669"/>
      <w:r>
        <w:rPr>
          <w:rFonts w:hint="eastAsia" w:ascii="宋体" w:hAnsi="宋体" w:eastAsia="宋体" w:cs="宋体"/>
          <w:color w:val="auto"/>
          <w:sz w:val="24"/>
          <w:szCs w:val="32"/>
          <w:highlight w:val="none"/>
        </w:rPr>
        <w:br w:type="page"/>
      </w:r>
    </w:p>
    <w:p>
      <w:pPr>
        <w:keepNext w:val="0"/>
        <w:keepLines w:val="0"/>
        <w:pageBreakBefore w:val="0"/>
        <w:widowControl/>
        <w:kinsoku/>
        <w:wordWrap/>
        <w:overflowPunct/>
        <w:topLinePunct w:val="0"/>
        <w:autoSpaceDE/>
        <w:autoSpaceDN/>
        <w:bidi w:val="0"/>
        <w:adjustRightInd/>
        <w:snapToGrid w:val="0"/>
        <w:spacing w:line="240" w:lineRule="auto"/>
        <w:jc w:val="center"/>
        <w:textAlignment w:val="auto"/>
        <w:outlineLvl w:val="0"/>
        <w:rPr>
          <w:rFonts w:hint="eastAsia" w:ascii="宋体" w:hAnsi="宋体" w:eastAsia="宋体" w:cs="宋体"/>
          <w:color w:val="auto"/>
          <w:kern w:val="0"/>
          <w:sz w:val="32"/>
          <w:szCs w:val="32"/>
          <w:highlight w:val="none"/>
        </w:rPr>
      </w:pPr>
      <w:bookmarkStart w:id="48" w:name="_Toc23054"/>
      <w:r>
        <w:rPr>
          <w:rFonts w:hint="eastAsia" w:ascii="宋体" w:hAnsi="宋体" w:eastAsia="宋体" w:cs="宋体"/>
          <w:b/>
          <w:bCs/>
          <w:color w:val="auto"/>
          <w:kern w:val="0"/>
          <w:sz w:val="40"/>
          <w:szCs w:val="40"/>
          <w:highlight w:val="none"/>
        </w:rPr>
        <w:t>第四章  评标办法及评分标准</w:t>
      </w:r>
      <w:bookmarkEnd w:id="46"/>
      <w:bookmarkEnd w:id="48"/>
    </w:p>
    <w:p>
      <w:pPr>
        <w:rPr>
          <w:rFonts w:hint="eastAsia" w:ascii="宋体" w:hAnsi="宋体" w:eastAsia="宋体" w:cs="宋体"/>
          <w:color w:val="auto"/>
          <w:sz w:val="24"/>
          <w:szCs w:val="32"/>
          <w:highlight w:val="none"/>
        </w:rPr>
      </w:pP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（一）评标原则</w:t>
      </w:r>
    </w:p>
    <w:p>
      <w:pPr>
        <w:keepNext w:val="0"/>
        <w:keepLines w:val="0"/>
        <w:pageBreakBefore w:val="0"/>
        <w:tabs>
          <w:tab w:val="left" w:pos="1620"/>
        </w:tabs>
        <w:kinsoku/>
        <w:overflowPunct/>
        <w:topLinePunct w:val="0"/>
        <w:bidi w:val="0"/>
        <w:snapToGrid w:val="0"/>
        <w:spacing w:line="360" w:lineRule="auto"/>
        <w:ind w:firstLine="528" w:firstLineChars="22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按照“公平、公正”的原则对待所有投标人</w:t>
      </w:r>
      <w:r>
        <w:rPr>
          <w:rFonts w:hint="eastAsia" w:ascii="宋体" w:hAnsi="宋体" w:eastAsia="宋体" w:cs="宋体"/>
          <w:b w:val="0"/>
          <w:bCs w:val="0"/>
          <w:color w:val="auto"/>
          <w:sz w:val="24"/>
          <w:szCs w:val="24"/>
          <w:highlight w:val="none"/>
          <w:lang w:eastAsia="zh-CN"/>
        </w:rPr>
        <w:t>，</w:t>
      </w:r>
      <w:r>
        <w:rPr>
          <w:rFonts w:hint="eastAsia" w:ascii="宋体" w:hAnsi="宋体" w:eastAsia="宋体" w:cs="宋体"/>
          <w:b w:val="0"/>
          <w:bCs w:val="0"/>
          <w:color w:val="auto"/>
          <w:sz w:val="24"/>
          <w:szCs w:val="24"/>
          <w:highlight w:val="none"/>
        </w:rPr>
        <w:t>按照</w:t>
      </w:r>
      <w:r>
        <w:rPr>
          <w:rFonts w:hint="eastAsia" w:ascii="宋体" w:hAnsi="宋体" w:eastAsia="宋体" w:cs="宋体"/>
          <w:b w:val="0"/>
          <w:bCs w:val="0"/>
          <w:color w:val="auto"/>
          <w:sz w:val="24"/>
          <w:szCs w:val="24"/>
          <w:highlight w:val="none"/>
          <w:lang w:val="en-US" w:eastAsia="zh-CN"/>
        </w:rPr>
        <w:t>采购</w:t>
      </w:r>
      <w:r>
        <w:rPr>
          <w:rFonts w:hint="eastAsia" w:ascii="宋体" w:hAnsi="宋体" w:eastAsia="宋体" w:cs="宋体"/>
          <w:b w:val="0"/>
          <w:bCs w:val="0"/>
          <w:color w:val="auto"/>
          <w:sz w:val="24"/>
          <w:szCs w:val="24"/>
          <w:highlight w:val="none"/>
        </w:rPr>
        <w:t>文件的相关规定进行评标、定标。</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w:t>
      </w:r>
      <w:r>
        <w:rPr>
          <w:rFonts w:hint="eastAsia" w:ascii="宋体" w:hAnsi="宋体" w:eastAsia="宋体" w:cs="宋体"/>
          <w:b w:val="0"/>
          <w:bCs w:val="0"/>
          <w:color w:val="auto"/>
          <w:sz w:val="24"/>
          <w:szCs w:val="24"/>
          <w:highlight w:val="none"/>
          <w:lang w:val="en-US" w:eastAsia="zh-CN"/>
        </w:rPr>
        <w:t>二</w:t>
      </w:r>
      <w:r>
        <w:rPr>
          <w:rFonts w:hint="eastAsia" w:ascii="宋体" w:hAnsi="宋体" w:eastAsia="宋体" w:cs="宋体"/>
          <w:b w:val="0"/>
          <w:bCs w:val="0"/>
          <w:color w:val="auto"/>
          <w:sz w:val="24"/>
          <w:szCs w:val="24"/>
          <w:highlight w:val="none"/>
        </w:rPr>
        <w:t>）评标办法</w:t>
      </w:r>
    </w:p>
    <w:p>
      <w:pPr>
        <w:keepNext w:val="0"/>
        <w:keepLines w:val="0"/>
        <w:pageBreakBefore w:val="0"/>
        <w:tabs>
          <w:tab w:val="left" w:pos="1620"/>
        </w:tabs>
        <w:kinsoku/>
        <w:overflowPunct/>
        <w:topLinePunct w:val="0"/>
        <w:bidi w:val="0"/>
        <w:snapToGrid w:val="0"/>
        <w:spacing w:line="360" w:lineRule="auto"/>
        <w:ind w:firstLine="528" w:firstLineChars="22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1．本项目采用综合评分法，总分为100分。</w:t>
      </w:r>
    </w:p>
    <w:p>
      <w:pPr>
        <w:keepNext w:val="0"/>
        <w:keepLines w:val="0"/>
        <w:pageBreakBefore w:val="0"/>
        <w:tabs>
          <w:tab w:val="left" w:pos="1620"/>
        </w:tabs>
        <w:kinsoku/>
        <w:overflowPunct/>
        <w:topLinePunct w:val="0"/>
        <w:bidi w:val="0"/>
        <w:snapToGrid w:val="0"/>
        <w:spacing w:line="360" w:lineRule="auto"/>
        <w:ind w:firstLine="528" w:firstLineChars="22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2．评标委员会按照</w:t>
      </w:r>
      <w:r>
        <w:rPr>
          <w:rFonts w:hint="eastAsia" w:ascii="宋体" w:hAnsi="宋体" w:eastAsia="宋体" w:cs="宋体"/>
          <w:b w:val="0"/>
          <w:bCs w:val="0"/>
          <w:color w:val="auto"/>
          <w:sz w:val="24"/>
          <w:szCs w:val="24"/>
          <w:highlight w:val="none"/>
          <w:lang w:val="en-US" w:eastAsia="zh-CN"/>
        </w:rPr>
        <w:t>采购</w:t>
      </w:r>
      <w:r>
        <w:rPr>
          <w:rFonts w:hint="eastAsia" w:ascii="宋体" w:hAnsi="宋体" w:eastAsia="宋体" w:cs="宋体"/>
          <w:b w:val="0"/>
          <w:bCs w:val="0"/>
          <w:color w:val="auto"/>
          <w:sz w:val="24"/>
          <w:szCs w:val="24"/>
          <w:highlight w:val="none"/>
        </w:rPr>
        <w:t>文件中规定的评标方法和标准，对投标文件进行综合比较与评价。</w:t>
      </w:r>
    </w:p>
    <w:p>
      <w:pPr>
        <w:keepNext w:val="0"/>
        <w:keepLines w:val="0"/>
        <w:pageBreakBefore w:val="0"/>
        <w:tabs>
          <w:tab w:val="left" w:pos="1620"/>
        </w:tabs>
        <w:kinsoku/>
        <w:overflowPunct/>
        <w:topLinePunct w:val="0"/>
        <w:bidi w:val="0"/>
        <w:snapToGrid w:val="0"/>
        <w:spacing w:line="360" w:lineRule="auto"/>
        <w:ind w:firstLine="528" w:firstLineChars="22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3.</w:t>
      </w:r>
      <w:r>
        <w:rPr>
          <w:rFonts w:hint="eastAsia" w:ascii="宋体" w:hAnsi="宋体" w:eastAsia="宋体" w:cs="宋体"/>
          <w:b w:val="0"/>
          <w:bCs w:val="0"/>
          <w:color w:val="auto"/>
          <w:sz w:val="24"/>
          <w:szCs w:val="24"/>
          <w:highlight w:val="none"/>
          <w:lang w:val="en-US" w:eastAsia="zh-CN"/>
        </w:rPr>
        <w:t xml:space="preserve"> </w:t>
      </w:r>
      <w:r>
        <w:rPr>
          <w:rFonts w:hint="eastAsia" w:ascii="宋体" w:hAnsi="宋体" w:eastAsia="宋体" w:cs="宋体"/>
          <w:b w:val="0"/>
          <w:bCs w:val="0"/>
          <w:color w:val="auto"/>
          <w:sz w:val="24"/>
          <w:szCs w:val="24"/>
          <w:highlight w:val="none"/>
        </w:rPr>
        <w:t>评标结果按评审后得分由高到低顺序排列，得分相同的，按投标报价由低到高顺序排列。得分且投标报价相同的，按技术部分得分顺序排列。</w:t>
      </w:r>
    </w:p>
    <w:p>
      <w:pPr>
        <w:keepNext w:val="0"/>
        <w:keepLines w:val="0"/>
        <w:pageBreakBefore w:val="0"/>
        <w:tabs>
          <w:tab w:val="left" w:pos="1620"/>
        </w:tabs>
        <w:kinsoku/>
        <w:overflowPunct/>
        <w:topLinePunct w:val="0"/>
        <w:bidi w:val="0"/>
        <w:snapToGrid w:val="0"/>
        <w:spacing w:line="360" w:lineRule="auto"/>
        <w:ind w:firstLine="528" w:firstLineChars="22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4</w:t>
      </w:r>
      <w:r>
        <w:rPr>
          <w:rFonts w:hint="eastAsia" w:ascii="宋体" w:hAnsi="宋体" w:eastAsia="宋体" w:cs="宋体"/>
          <w:b w:val="0"/>
          <w:bCs w:val="0"/>
          <w:color w:val="auto"/>
          <w:sz w:val="24"/>
          <w:szCs w:val="24"/>
          <w:highlight w:val="none"/>
        </w:rPr>
        <w:t>.投标文件满足</w:t>
      </w:r>
      <w:r>
        <w:rPr>
          <w:rFonts w:hint="eastAsia" w:ascii="宋体" w:hAnsi="宋体" w:eastAsia="宋体" w:cs="宋体"/>
          <w:b w:val="0"/>
          <w:bCs w:val="0"/>
          <w:color w:val="auto"/>
          <w:sz w:val="24"/>
          <w:szCs w:val="24"/>
          <w:highlight w:val="none"/>
          <w:lang w:val="en-US" w:eastAsia="zh-CN"/>
        </w:rPr>
        <w:t>采购</w:t>
      </w:r>
      <w:r>
        <w:rPr>
          <w:rFonts w:hint="eastAsia" w:ascii="宋体" w:hAnsi="宋体" w:eastAsia="宋体" w:cs="宋体"/>
          <w:b w:val="0"/>
          <w:bCs w:val="0"/>
          <w:color w:val="auto"/>
          <w:sz w:val="24"/>
          <w:szCs w:val="24"/>
          <w:highlight w:val="none"/>
        </w:rPr>
        <w:t>文件全部实质性要求，且评审得分最高的投标人为第一中标候选人。</w:t>
      </w:r>
    </w:p>
    <w:p>
      <w:pPr>
        <w:keepNext w:val="0"/>
        <w:keepLines w:val="0"/>
        <w:pageBreakBefore w:val="0"/>
        <w:tabs>
          <w:tab w:val="left" w:pos="1620"/>
        </w:tabs>
        <w:kinsoku/>
        <w:overflowPunct/>
        <w:topLinePunct w:val="0"/>
        <w:bidi w:val="0"/>
        <w:snapToGrid w:val="0"/>
        <w:spacing w:line="360" w:lineRule="auto"/>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w:t>
      </w:r>
      <w:r>
        <w:rPr>
          <w:rFonts w:hint="eastAsia" w:ascii="宋体" w:hAnsi="宋体" w:eastAsia="宋体" w:cs="宋体"/>
          <w:b w:val="0"/>
          <w:bCs w:val="0"/>
          <w:color w:val="auto"/>
          <w:sz w:val="24"/>
          <w:szCs w:val="24"/>
          <w:highlight w:val="none"/>
          <w:lang w:val="en-US" w:eastAsia="zh-CN"/>
        </w:rPr>
        <w:t>三</w:t>
      </w:r>
      <w:r>
        <w:rPr>
          <w:rFonts w:hint="eastAsia" w:ascii="宋体" w:hAnsi="宋体" w:eastAsia="宋体" w:cs="宋体"/>
          <w:b w:val="0"/>
          <w:bCs w:val="0"/>
          <w:color w:val="auto"/>
          <w:sz w:val="24"/>
          <w:szCs w:val="24"/>
          <w:highlight w:val="none"/>
        </w:rPr>
        <w:t>）评标程序</w:t>
      </w:r>
    </w:p>
    <w:p>
      <w:pPr>
        <w:keepNext w:val="0"/>
        <w:keepLines w:val="0"/>
        <w:pageBreakBefore w:val="0"/>
        <w:numPr>
          <w:ilvl w:val="0"/>
          <w:numId w:val="4"/>
        </w:numPr>
        <w:kinsoku/>
        <w:overflowPunct/>
        <w:topLinePunct w:val="0"/>
        <w:bidi w:val="0"/>
        <w:snapToGrid w:val="0"/>
        <w:spacing w:line="360" w:lineRule="auto"/>
        <w:ind w:firstLine="480" w:firstLineChars="200"/>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详细评审（100分）</w:t>
      </w:r>
    </w:p>
    <w:tbl>
      <w:tblPr>
        <w:tblStyle w:val="32"/>
        <w:tblW w:w="94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9"/>
        <w:gridCol w:w="2140"/>
        <w:gridCol w:w="6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9482" w:type="dxa"/>
            <w:gridSpan w:val="3"/>
            <w:noWrap w:val="0"/>
            <w:vAlign w:val="center"/>
          </w:tcPr>
          <w:p>
            <w:pPr>
              <w:keepNext w:val="0"/>
              <w:keepLines w:val="0"/>
              <w:pageBreakBefore w:val="0"/>
              <w:widowControl w:val="0"/>
              <w:tabs>
                <w:tab w:val="left" w:pos="3000"/>
              </w:tabs>
              <w:kinsoku/>
              <w:wordWrap/>
              <w:overflowPunct/>
              <w:topLinePunct w:val="0"/>
              <w:autoSpaceDE/>
              <w:autoSpaceDN/>
              <w:bidi w:val="0"/>
              <w:adjustRightInd/>
              <w:snapToGrid w:val="0"/>
              <w:spacing w:line="360" w:lineRule="auto"/>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评审内容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5" w:hRule="atLeast"/>
          <w:jc w:val="center"/>
        </w:trPr>
        <w:tc>
          <w:tcPr>
            <w:tcW w:w="1239" w:type="dxa"/>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价格标部分(3</w:t>
            </w:r>
            <w:r>
              <w:rPr>
                <w:rFonts w:hint="eastAsia" w:ascii="宋体" w:hAnsi="宋体" w:eastAsia="宋体" w:cs="宋体"/>
                <w:b w:val="0"/>
                <w:bCs w:val="0"/>
                <w:color w:val="auto"/>
                <w:sz w:val="24"/>
                <w:szCs w:val="24"/>
                <w:highlight w:val="none"/>
                <w:lang w:val="en-US" w:eastAsia="zh-CN"/>
              </w:rPr>
              <w:t>5</w:t>
            </w:r>
            <w:r>
              <w:rPr>
                <w:rFonts w:hint="eastAsia" w:ascii="宋体" w:hAnsi="宋体" w:eastAsia="宋体" w:cs="宋体"/>
                <w:b w:val="0"/>
                <w:bCs w:val="0"/>
                <w:color w:val="auto"/>
                <w:sz w:val="24"/>
                <w:szCs w:val="24"/>
                <w:highlight w:val="none"/>
              </w:rPr>
              <w:t>分)</w:t>
            </w:r>
          </w:p>
        </w:tc>
        <w:tc>
          <w:tcPr>
            <w:tcW w:w="8243" w:type="dxa"/>
            <w:gridSpan w:val="2"/>
            <w:noWrap w:val="0"/>
            <w:vAlign w:val="center"/>
          </w:tcPr>
          <w:p>
            <w:pPr>
              <w:pStyle w:val="48"/>
              <w:keepNext w:val="0"/>
              <w:keepLines w:val="0"/>
              <w:pageBreakBefore w:val="0"/>
              <w:kinsoku/>
              <w:wordWrap/>
              <w:overflowPunct/>
              <w:topLinePunct w:val="0"/>
              <w:bidi w:val="0"/>
              <w:snapToGrid w:val="0"/>
              <w:spacing w:line="360" w:lineRule="auto"/>
              <w:jc w:val="both"/>
              <w:textAlignment w:val="auto"/>
              <w:rPr>
                <w:rFonts w:hint="eastAsia" w:ascii="宋体" w:hAnsi="宋体" w:eastAsia="宋体" w:cs="宋体"/>
                <w:b w:val="0"/>
                <w:bCs w:val="0"/>
                <w:color w:val="auto"/>
                <w:sz w:val="24"/>
                <w:szCs w:val="24"/>
                <w:highlight w:val="none"/>
                <w:u w:val="none"/>
              </w:rPr>
            </w:pPr>
            <w:r>
              <w:rPr>
                <w:rFonts w:hint="eastAsia" w:ascii="宋体" w:hAnsi="宋体" w:eastAsia="宋体" w:cs="宋体"/>
                <w:b w:val="0"/>
                <w:bCs w:val="0"/>
                <w:color w:val="auto"/>
                <w:sz w:val="24"/>
                <w:szCs w:val="24"/>
                <w:highlight w:val="none"/>
                <w:u w:val="none"/>
              </w:rPr>
              <w:t>说明：当评标委员会发现投标人的投标报价明显低于其他投标报价，使其投标报价可能低于其个别成本的，评标委员会可对其质询，并要求该投标人做出书面说明和提供相关的证明材料；该投标人不能合理说明或提供证明材料的，评标委员会应按无效投标处理。</w:t>
            </w:r>
          </w:p>
          <w:p>
            <w:pPr>
              <w:pStyle w:val="48"/>
              <w:keepNext w:val="0"/>
              <w:keepLines w:val="0"/>
              <w:pageBreakBefore w:val="0"/>
              <w:kinsoku/>
              <w:wordWrap/>
              <w:overflowPunct/>
              <w:topLinePunct w:val="0"/>
              <w:bidi w:val="0"/>
              <w:snapToGrid w:val="0"/>
              <w:spacing w:line="360" w:lineRule="auto"/>
              <w:jc w:val="both"/>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有效投标报价：投标报价</w:t>
            </w:r>
            <w:r>
              <w:rPr>
                <w:rFonts w:hint="eastAsia" w:ascii="宋体" w:hAnsi="宋体" w:eastAsia="宋体" w:cs="宋体"/>
                <w:b w:val="0"/>
                <w:bCs w:val="0"/>
                <w:color w:val="auto"/>
                <w:sz w:val="24"/>
                <w:szCs w:val="24"/>
                <w:highlight w:val="none"/>
                <w:lang w:val="en-US" w:eastAsia="zh-CN"/>
              </w:rPr>
              <w:t>不高于</w:t>
            </w:r>
            <w:r>
              <w:rPr>
                <w:rFonts w:hint="eastAsia" w:ascii="宋体" w:hAnsi="宋体" w:eastAsia="宋体" w:cs="宋体"/>
                <w:b w:val="0"/>
                <w:bCs w:val="0"/>
                <w:color w:val="auto"/>
                <w:sz w:val="24"/>
                <w:szCs w:val="24"/>
                <w:highlight w:val="none"/>
              </w:rPr>
              <w:t>采购预算价的为有效投标报价。</w:t>
            </w:r>
          </w:p>
          <w:p>
            <w:pPr>
              <w:pStyle w:val="48"/>
              <w:keepNext w:val="0"/>
              <w:keepLines w:val="0"/>
              <w:pageBreakBefore w:val="0"/>
              <w:kinsoku/>
              <w:wordWrap/>
              <w:overflowPunct/>
              <w:topLinePunct w:val="0"/>
              <w:bidi w:val="0"/>
              <w:snapToGrid w:val="0"/>
              <w:spacing w:line="360" w:lineRule="auto"/>
              <w:jc w:val="both"/>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评标基准值的确定：满足</w:t>
            </w:r>
            <w:r>
              <w:rPr>
                <w:rFonts w:hint="eastAsia" w:ascii="宋体" w:hAnsi="宋体" w:eastAsia="宋体" w:cs="宋体"/>
                <w:b w:val="0"/>
                <w:bCs w:val="0"/>
                <w:color w:val="auto"/>
                <w:sz w:val="24"/>
                <w:szCs w:val="24"/>
                <w:highlight w:val="none"/>
                <w:lang w:val="en-US" w:eastAsia="zh-CN"/>
              </w:rPr>
              <w:t>采购</w:t>
            </w:r>
            <w:r>
              <w:rPr>
                <w:rFonts w:hint="eastAsia" w:ascii="宋体" w:hAnsi="宋体" w:eastAsia="宋体" w:cs="宋体"/>
                <w:b w:val="0"/>
                <w:bCs w:val="0"/>
                <w:color w:val="auto"/>
                <w:sz w:val="24"/>
                <w:szCs w:val="24"/>
                <w:highlight w:val="none"/>
              </w:rPr>
              <w:t>文件要求且投标价格最低的有效投标报价为评标基准价。</w:t>
            </w:r>
          </w:p>
          <w:p>
            <w:pPr>
              <w:pStyle w:val="48"/>
              <w:keepNext w:val="0"/>
              <w:keepLines w:val="0"/>
              <w:pageBreakBefore w:val="0"/>
              <w:kinsoku/>
              <w:wordWrap/>
              <w:overflowPunct/>
              <w:topLinePunct w:val="0"/>
              <w:bidi w:val="0"/>
              <w:snapToGrid w:val="0"/>
              <w:spacing w:line="360" w:lineRule="auto"/>
              <w:jc w:val="both"/>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lang w:val="en-US" w:eastAsia="zh-CN"/>
              </w:rPr>
              <w:t>投标报价得分=（评标基准价/有效投标报价）×35分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 w:hRule="atLeast"/>
          <w:jc w:val="center"/>
        </w:trPr>
        <w:tc>
          <w:tcPr>
            <w:tcW w:w="1239" w:type="dxa"/>
            <w:noWrap w:val="0"/>
            <w:vAlign w:val="center"/>
          </w:tcPr>
          <w:p>
            <w:pPr>
              <w:keepNext w:val="0"/>
              <w:keepLines w:val="0"/>
              <w:pageBreakBefore w:val="0"/>
              <w:kinsoku/>
              <w:wordWrap/>
              <w:overflowPunct/>
              <w:topLinePunct w:val="0"/>
              <w:bidi w:val="0"/>
              <w:snapToGrid w:val="0"/>
              <w:spacing w:line="360" w:lineRule="auto"/>
              <w:jc w:val="left"/>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技术部分（33分）</w:t>
            </w:r>
          </w:p>
        </w:tc>
        <w:tc>
          <w:tcPr>
            <w:tcW w:w="2140"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对“第二章  采购需求”技术参数的响应、性能及产品功能等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若投标设备技术指标与磋商文件中技术参数相比出现负偏离者或提供证明文件不符或未按要求提供证明材料，每项扣除技术分3分，扣完为止。</w:t>
            </w:r>
          </w:p>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1）.所投产品或设备均应提供相关证明文件资料，所投产品必须是正规厂家生产的原装正品；</w:t>
            </w:r>
          </w:p>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w:t>
            </w:r>
            <w:r>
              <w:rPr>
                <w:rFonts w:hint="eastAsia" w:ascii="宋体" w:hAnsi="宋体" w:eastAsia="宋体" w:cs="宋体"/>
                <w:b w:val="0"/>
                <w:bCs w:val="0"/>
                <w:color w:val="auto"/>
                <w:sz w:val="24"/>
                <w:szCs w:val="24"/>
                <w:highlight w:val="none"/>
                <w:lang w:val="en-US" w:eastAsia="zh-CN"/>
              </w:rPr>
              <w:t>.</w:t>
            </w:r>
            <w:r>
              <w:rPr>
                <w:rFonts w:hint="eastAsia" w:ascii="宋体" w:hAnsi="宋体" w:eastAsia="宋体" w:cs="宋体"/>
                <w:b w:val="0"/>
                <w:bCs w:val="0"/>
                <w:color w:val="auto"/>
                <w:sz w:val="24"/>
                <w:szCs w:val="24"/>
                <w:highlight w:val="none"/>
              </w:rPr>
              <w:t>提供有关投标货物符合采购文件要求的相关证明文件。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39" w:type="dxa"/>
            <w:vMerge w:val="restart"/>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商务评价</w:t>
            </w:r>
          </w:p>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(12分)</w:t>
            </w:r>
          </w:p>
        </w:tc>
        <w:tc>
          <w:tcPr>
            <w:tcW w:w="2140" w:type="dxa"/>
            <w:tcBorders>
              <w:top w:val="single" w:color="auto" w:sz="4" w:space="0"/>
            </w:tcBorders>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1、质保期</w:t>
            </w:r>
          </w:p>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（6分）</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b w:val="0"/>
                <w:bCs w:val="0"/>
                <w:color w:val="auto"/>
                <w:kern w:val="0"/>
                <w:sz w:val="24"/>
                <w:szCs w:val="24"/>
                <w:highlight w:val="none"/>
                <w:lang w:val="en-US" w:eastAsia="zh-CN"/>
              </w:rPr>
              <w:t>质保期达到招标要求的，得基础分2分，超过招标文件规定的，每增加一年加2分,最多加4分（出具相关服务承诺书）；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1239" w:type="dxa"/>
            <w:vMerge w:val="continue"/>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4"/>
                <w:szCs w:val="24"/>
                <w:highlight w:val="none"/>
              </w:rPr>
            </w:pPr>
          </w:p>
        </w:tc>
        <w:tc>
          <w:tcPr>
            <w:tcW w:w="2140" w:type="dxa"/>
            <w:tcBorders>
              <w:top w:val="single" w:color="auto" w:sz="4" w:space="0"/>
            </w:tcBorders>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2、类似业绩（6分）</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both"/>
              <w:textAlignment w:val="auto"/>
              <w:rPr>
                <w:rFonts w:hint="eastAsia" w:ascii="宋体" w:hAnsi="宋体" w:eastAsia="宋体" w:cs="宋体"/>
                <w:b w:val="0"/>
                <w:bCs w:val="0"/>
                <w:color w:val="auto"/>
                <w:kern w:val="0"/>
                <w:sz w:val="24"/>
                <w:szCs w:val="24"/>
                <w:highlight w:val="none"/>
                <w:lang w:val="en-US" w:eastAsia="zh-CN"/>
              </w:rPr>
            </w:pPr>
            <w:r>
              <w:rPr>
                <w:rFonts w:hint="eastAsia" w:ascii="宋体" w:hAnsi="宋体" w:eastAsia="宋体" w:cs="宋体"/>
                <w:b w:val="0"/>
                <w:bCs w:val="0"/>
                <w:color w:val="auto"/>
                <w:kern w:val="0"/>
                <w:sz w:val="24"/>
                <w:szCs w:val="24"/>
                <w:highlight w:val="none"/>
                <w:lang w:val="en-US" w:eastAsia="zh-CN"/>
              </w:rPr>
              <w:t>自 2020年 1 月 1 日至今（近三年）已完成的类似项目(以合同文件为准），每提供一份得2分，最多得6分。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1239" w:type="dxa"/>
            <w:noWrap w:val="0"/>
            <w:vAlign w:val="center"/>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售后服务</w:t>
            </w:r>
          </w:p>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(20分)</w:t>
            </w:r>
          </w:p>
        </w:tc>
        <w:tc>
          <w:tcPr>
            <w:tcW w:w="2140" w:type="dxa"/>
            <w:noWrap w:val="0"/>
            <w:vAlign w:val="center"/>
          </w:tcPr>
          <w:p>
            <w:pPr>
              <w:pStyle w:val="48"/>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kern w:val="2"/>
                <w:sz w:val="24"/>
                <w:szCs w:val="24"/>
                <w:highlight w:val="none"/>
                <w:lang w:val="en-US" w:eastAsia="zh-CN"/>
              </w:rPr>
            </w:pPr>
            <w:r>
              <w:rPr>
                <w:rFonts w:hint="eastAsia" w:ascii="宋体" w:hAnsi="宋体" w:eastAsia="宋体" w:cs="宋体"/>
                <w:b w:val="0"/>
                <w:bCs w:val="0"/>
                <w:color w:val="auto"/>
                <w:kern w:val="2"/>
                <w:sz w:val="24"/>
                <w:szCs w:val="24"/>
                <w:highlight w:val="none"/>
                <w:lang w:val="en-US" w:eastAsia="zh-CN"/>
              </w:rPr>
              <w:t>培训方案、服务站点、服务响应及时性、售后服务方案等</w:t>
            </w:r>
          </w:p>
        </w:tc>
        <w:tc>
          <w:tcPr>
            <w:tcW w:w="6103" w:type="dxa"/>
            <w:noWrap w:val="0"/>
            <w:vAlign w:val="center"/>
          </w:tcPr>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宋体" w:hAnsi="宋体" w:eastAsia="宋体" w:cs="宋体"/>
                <w:b w:val="0"/>
                <w:bCs w:val="0"/>
                <w:color w:val="auto"/>
                <w:kern w:val="2"/>
                <w:sz w:val="24"/>
                <w:szCs w:val="24"/>
                <w:highlight w:val="none"/>
              </w:rPr>
            </w:pPr>
            <w:r>
              <w:rPr>
                <w:rFonts w:hint="eastAsia" w:ascii="宋体" w:hAnsi="宋体" w:eastAsia="宋体" w:cs="宋体"/>
                <w:b w:val="0"/>
                <w:bCs w:val="0"/>
                <w:color w:val="auto"/>
                <w:kern w:val="2"/>
                <w:sz w:val="24"/>
                <w:szCs w:val="24"/>
                <w:highlight w:val="none"/>
              </w:rPr>
              <w:t>根据投标人在投标文件中所投产品的售后服务站设立情况（配备有专业售后服务技术人员，提供售后服务人员名单和售后服务地址、电话）、培训方案、售后服务及时率、服务到位程度、详细的维修时间和处理办法、售后服务方案、安全质量保障措施等内容；</w:t>
            </w:r>
          </w:p>
          <w:p>
            <w:pPr>
              <w:keepNext w:val="0"/>
              <w:keepLines w:val="0"/>
              <w:pageBreakBefore w:val="0"/>
              <w:widowControl/>
              <w:kinsoku/>
              <w:wordWrap/>
              <w:overflowPunct/>
              <w:topLinePunct w:val="0"/>
              <w:autoSpaceDE/>
              <w:autoSpaceDN/>
              <w:bidi w:val="0"/>
              <w:adjustRightInd/>
              <w:snapToGrid w:val="0"/>
              <w:spacing w:line="360" w:lineRule="auto"/>
              <w:jc w:val="left"/>
              <w:textAlignment w:val="auto"/>
              <w:rPr>
                <w:rFonts w:hint="eastAsia" w:ascii="宋体" w:hAnsi="宋体" w:eastAsia="宋体" w:cs="宋体"/>
                <w:b w:val="0"/>
                <w:bCs w:val="0"/>
                <w:color w:val="auto"/>
                <w:kern w:val="2"/>
                <w:sz w:val="24"/>
                <w:szCs w:val="24"/>
                <w:highlight w:val="none"/>
              </w:rPr>
            </w:pPr>
            <w:r>
              <w:rPr>
                <w:rFonts w:hint="eastAsia" w:ascii="宋体" w:hAnsi="宋体" w:eastAsia="宋体" w:cs="宋体"/>
                <w:b w:val="0"/>
                <w:bCs w:val="0"/>
                <w:color w:val="auto"/>
                <w:kern w:val="2"/>
                <w:sz w:val="24"/>
                <w:szCs w:val="24"/>
                <w:highlight w:val="none"/>
              </w:rPr>
              <w:t>售后服务内容具体、完善、合理性程度强得14-20分，具体、完善、合理性程度一般得7-13分，具体、完善、合理性程度差得1-6分，缺项得0分。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jc w:val="center"/>
        </w:trPr>
        <w:tc>
          <w:tcPr>
            <w:tcW w:w="1239" w:type="dxa"/>
            <w:noWrap w:val="0"/>
            <w:vAlign w:val="top"/>
          </w:tcPr>
          <w:p>
            <w:pPr>
              <w:keepNext w:val="0"/>
              <w:keepLines w:val="0"/>
              <w:pageBreakBefore w:val="0"/>
              <w:kinsoku/>
              <w:wordWrap/>
              <w:overflowPunct/>
              <w:topLinePunct w:val="0"/>
              <w:bidi w:val="0"/>
              <w:snapToGrid w:val="0"/>
              <w:spacing w:line="360" w:lineRule="auto"/>
              <w:jc w:val="center"/>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得分的计算</w:t>
            </w:r>
          </w:p>
        </w:tc>
        <w:tc>
          <w:tcPr>
            <w:tcW w:w="8243" w:type="dxa"/>
            <w:gridSpan w:val="2"/>
            <w:noWrap w:val="0"/>
            <w:vAlign w:val="center"/>
          </w:tcPr>
          <w:p>
            <w:pPr>
              <w:keepNext w:val="0"/>
              <w:keepLines w:val="0"/>
              <w:pageBreakBefore w:val="0"/>
              <w:kinsoku/>
              <w:wordWrap/>
              <w:overflowPunct/>
              <w:topLinePunct w:val="0"/>
              <w:bidi w:val="0"/>
              <w:snapToGrid w:val="0"/>
              <w:spacing w:line="360" w:lineRule="auto"/>
              <w:jc w:val="both"/>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评标委员会成员评分=各项评分因素的汇总得分。</w:t>
            </w:r>
          </w:p>
          <w:p>
            <w:pPr>
              <w:keepNext w:val="0"/>
              <w:keepLines w:val="0"/>
              <w:pageBreakBefore w:val="0"/>
              <w:kinsoku/>
              <w:wordWrap/>
              <w:overflowPunct/>
              <w:topLinePunct w:val="0"/>
              <w:bidi w:val="0"/>
              <w:snapToGrid w:val="0"/>
              <w:spacing w:line="360" w:lineRule="auto"/>
              <w:jc w:val="both"/>
              <w:textAlignment w:val="auto"/>
              <w:rPr>
                <w:rFonts w:hint="eastAsia" w:ascii="宋体" w:hAnsi="宋体" w:eastAsia="宋体" w:cs="宋体"/>
                <w:b w:val="0"/>
                <w:bCs w:val="0"/>
                <w:color w:val="auto"/>
                <w:sz w:val="24"/>
                <w:szCs w:val="24"/>
                <w:highlight w:val="none"/>
              </w:rPr>
            </w:pPr>
            <w:r>
              <w:rPr>
                <w:rFonts w:hint="eastAsia" w:ascii="宋体" w:hAnsi="宋体" w:eastAsia="宋体" w:cs="宋体"/>
                <w:b w:val="0"/>
                <w:bCs w:val="0"/>
                <w:color w:val="auto"/>
                <w:sz w:val="24"/>
                <w:szCs w:val="24"/>
                <w:highlight w:val="none"/>
              </w:rPr>
              <w:t>评标总得分=评标委员会所有成员合计评分/评标委员会组成人员数。</w:t>
            </w:r>
          </w:p>
        </w:tc>
      </w:tr>
    </w:tbl>
    <w:p>
      <w:pPr>
        <w:spacing w:line="500" w:lineRule="exact"/>
        <w:ind w:firstLine="420" w:firstLineChars="200"/>
        <w:rPr>
          <w:rFonts w:ascii="宋体" w:hAnsi="宋体" w:cs="宋体"/>
          <w:color w:val="auto"/>
          <w:kern w:val="0"/>
          <w:szCs w:val="21"/>
          <w:highlight w:val="none"/>
        </w:rPr>
      </w:pPr>
    </w:p>
    <w:p>
      <w:pPr>
        <w:rPr>
          <w:b/>
          <w:color w:val="auto"/>
          <w:highlight w:val="none"/>
        </w:rPr>
      </w:pPr>
      <w:r>
        <w:rPr>
          <w:rFonts w:hint="eastAsia"/>
          <w:b/>
          <w:color w:val="auto"/>
          <w:highlight w:val="none"/>
        </w:rPr>
        <w:br w:type="page"/>
      </w:r>
    </w:p>
    <w:bookmarkEnd w:id="47"/>
    <w:p>
      <w:pPr>
        <w:rPr>
          <w:color w:val="auto"/>
          <w:highlight w:val="none"/>
        </w:rPr>
      </w:pPr>
      <w:bookmarkStart w:id="49" w:name="_Toc1482"/>
      <w:bookmarkStart w:id="50" w:name="_Toc1947"/>
      <w:bookmarkStart w:id="51" w:name="_Toc326786897"/>
      <w:bookmarkStart w:id="52" w:name="_Toc256519703"/>
    </w:p>
    <w:p>
      <w:pPr>
        <w:pStyle w:val="3"/>
        <w:snapToGrid w:val="0"/>
        <w:spacing w:before="0" w:after="0" w:line="360" w:lineRule="auto"/>
        <w:jc w:val="center"/>
        <w:rPr>
          <w:color w:val="auto"/>
          <w:sz w:val="28"/>
          <w:szCs w:val="28"/>
          <w:highlight w:val="yellow"/>
        </w:rPr>
      </w:pPr>
      <w:bookmarkStart w:id="53" w:name="_Toc32036"/>
      <w:r>
        <w:rPr>
          <w:rFonts w:hint="eastAsia"/>
          <w:color w:val="auto"/>
          <w:sz w:val="40"/>
          <w:szCs w:val="40"/>
          <w:highlight w:val="none"/>
        </w:rPr>
        <w:t>第五章  采购合同</w:t>
      </w:r>
      <w:bookmarkEnd w:id="53"/>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0" w:firstLineChars="0"/>
        <w:jc w:val="center"/>
        <w:textAlignment w:val="auto"/>
        <w:rPr>
          <w:rFonts w:hint="eastAsia" w:ascii="宋体" w:hAnsi="宋体" w:eastAsia="宋体"/>
          <w:color w:val="auto"/>
          <w:sz w:val="24"/>
          <w:szCs w:val="24"/>
          <w:lang w:eastAsia="zh-CN"/>
        </w:rPr>
      </w:pPr>
      <w:r>
        <w:rPr>
          <w:rFonts w:hint="eastAsia" w:ascii="宋体" w:hAnsi="宋体"/>
          <w:color w:val="auto"/>
          <w:sz w:val="24"/>
          <w:szCs w:val="24"/>
          <w:lang w:eastAsia="zh-CN"/>
        </w:rPr>
        <w:t>（</w:t>
      </w:r>
      <w:r>
        <w:rPr>
          <w:rFonts w:hint="eastAsia" w:ascii="宋体" w:hAnsi="宋体"/>
          <w:color w:val="auto"/>
          <w:sz w:val="24"/>
          <w:szCs w:val="24"/>
          <w:lang w:val="en-US" w:eastAsia="zh-CN"/>
        </w:rPr>
        <w:t>以实际合同为准</w:t>
      </w:r>
      <w:r>
        <w:rPr>
          <w:rFonts w:hint="eastAsia" w:ascii="宋体" w:hAnsi="宋体"/>
          <w:color w:val="auto"/>
          <w:sz w:val="24"/>
          <w:szCs w:val="24"/>
          <w:lang w:eastAsia="zh-CN"/>
        </w:rPr>
        <w:t>）</w:t>
      </w:r>
    </w:p>
    <w:p>
      <w:pPr>
        <w:rPr>
          <w:color w:val="auto"/>
          <w:sz w:val="32"/>
          <w:szCs w:val="32"/>
          <w:highlight w:val="none"/>
        </w:rPr>
      </w:pPr>
    </w:p>
    <w:p>
      <w:pPr>
        <w:rPr>
          <w:color w:val="auto"/>
        </w:rPr>
      </w:pPr>
      <w:r>
        <w:rPr>
          <w:color w:val="auto"/>
          <w:highlight w:val="none"/>
        </w:rPr>
        <w:br w:type="page"/>
      </w:r>
    </w:p>
    <w:p>
      <w:pPr>
        <w:pStyle w:val="3"/>
        <w:spacing w:line="360" w:lineRule="auto"/>
        <w:jc w:val="center"/>
        <w:rPr>
          <w:rFonts w:ascii="宋体" w:hAnsi="宋体" w:cs="宋体"/>
          <w:color w:val="auto"/>
          <w:kern w:val="0"/>
          <w:highlight w:val="none"/>
        </w:rPr>
      </w:pPr>
      <w:bookmarkStart w:id="54" w:name="_Toc8994"/>
      <w:r>
        <w:rPr>
          <w:rFonts w:hint="eastAsia"/>
          <w:color w:val="auto"/>
          <w:sz w:val="44"/>
          <w:szCs w:val="44"/>
          <w:highlight w:val="none"/>
        </w:rPr>
        <w:t>第六章  投标文件格式</w:t>
      </w:r>
      <w:bookmarkEnd w:id="49"/>
      <w:bookmarkEnd w:id="50"/>
      <w:bookmarkEnd w:id="54"/>
    </w:p>
    <w:p>
      <w:pPr>
        <w:spacing w:line="440" w:lineRule="exact"/>
        <w:rPr>
          <w:color w:val="auto"/>
          <w:sz w:val="24"/>
          <w:highlight w:val="none"/>
        </w:rPr>
      </w:pPr>
    </w:p>
    <w:p>
      <w:pPr>
        <w:jc w:val="center"/>
        <w:rPr>
          <w:b/>
          <w:bCs/>
          <w:color w:val="auto"/>
          <w:sz w:val="32"/>
          <w:szCs w:val="32"/>
          <w:highlight w:val="none"/>
        </w:rPr>
      </w:pPr>
      <w:bookmarkStart w:id="55" w:name="_Toc13604"/>
      <w:r>
        <w:rPr>
          <w:rFonts w:hint="eastAsia"/>
          <w:b/>
          <w:bCs/>
          <w:color w:val="auto"/>
          <w:sz w:val="32"/>
          <w:szCs w:val="32"/>
          <w:highlight w:val="none"/>
        </w:rPr>
        <w:t>目    录</w:t>
      </w:r>
      <w:bookmarkEnd w:id="55"/>
    </w:p>
    <w:p>
      <w:pPr>
        <w:widowControl/>
        <w:wordWrap w:val="0"/>
        <w:spacing w:line="460" w:lineRule="exact"/>
        <w:ind w:firstLine="480" w:firstLineChars="200"/>
        <w:jc w:val="left"/>
        <w:rPr>
          <w:rFonts w:ascii="宋体" w:hAnsi="宋体" w:cs="宋体"/>
          <w:color w:val="auto"/>
          <w:kern w:val="0"/>
          <w:sz w:val="24"/>
          <w:highlight w:val="none"/>
        </w:rPr>
      </w:pPr>
    </w:p>
    <w:p>
      <w:pPr>
        <w:snapToGrid w:val="0"/>
        <w:spacing w:line="360" w:lineRule="auto"/>
        <w:ind w:firstLine="480" w:firstLineChars="200"/>
        <w:rPr>
          <w:color w:val="auto"/>
          <w:sz w:val="24"/>
          <w:highlight w:val="none"/>
        </w:rPr>
      </w:pPr>
      <w:bookmarkStart w:id="56" w:name="_Toc11308"/>
      <w:r>
        <w:rPr>
          <w:rFonts w:hint="eastAsia"/>
          <w:color w:val="auto"/>
          <w:sz w:val="24"/>
          <w:highlight w:val="none"/>
        </w:rPr>
        <w:t>附件1投标文件封面（格式）</w:t>
      </w:r>
      <w:bookmarkEnd w:id="56"/>
    </w:p>
    <w:p>
      <w:pPr>
        <w:snapToGrid w:val="0"/>
        <w:spacing w:line="360" w:lineRule="auto"/>
        <w:ind w:firstLine="480" w:firstLineChars="200"/>
        <w:rPr>
          <w:color w:val="auto"/>
          <w:sz w:val="24"/>
          <w:highlight w:val="none"/>
        </w:rPr>
      </w:pPr>
      <w:bookmarkStart w:id="57" w:name="_Toc25345"/>
      <w:r>
        <w:rPr>
          <w:rFonts w:hint="eastAsia"/>
          <w:color w:val="auto"/>
          <w:sz w:val="24"/>
          <w:highlight w:val="none"/>
        </w:rPr>
        <w:t>附件2 投标书（格式）</w:t>
      </w:r>
      <w:bookmarkEnd w:id="57"/>
    </w:p>
    <w:p>
      <w:pPr>
        <w:snapToGrid w:val="0"/>
        <w:spacing w:line="360" w:lineRule="auto"/>
        <w:ind w:firstLine="480" w:firstLineChars="200"/>
        <w:rPr>
          <w:color w:val="auto"/>
          <w:sz w:val="24"/>
          <w:highlight w:val="none"/>
        </w:rPr>
      </w:pPr>
      <w:bookmarkStart w:id="58" w:name="_Toc10217"/>
      <w:r>
        <w:rPr>
          <w:rFonts w:hint="eastAsia"/>
          <w:color w:val="auto"/>
          <w:sz w:val="24"/>
          <w:highlight w:val="none"/>
        </w:rPr>
        <w:t>附件3 开标一览表（格式）</w:t>
      </w:r>
      <w:bookmarkEnd w:id="58"/>
    </w:p>
    <w:p>
      <w:pPr>
        <w:snapToGrid w:val="0"/>
        <w:spacing w:line="360" w:lineRule="auto"/>
        <w:ind w:firstLine="480" w:firstLineChars="200"/>
        <w:rPr>
          <w:color w:val="auto"/>
          <w:sz w:val="24"/>
          <w:highlight w:val="none"/>
        </w:rPr>
      </w:pPr>
      <w:bookmarkStart w:id="59" w:name="_Toc9579"/>
      <w:r>
        <w:rPr>
          <w:rFonts w:hint="eastAsia"/>
          <w:color w:val="auto"/>
          <w:sz w:val="24"/>
          <w:highlight w:val="none"/>
        </w:rPr>
        <w:t>附件4 投标报价明细表（格式）</w:t>
      </w:r>
      <w:bookmarkEnd w:id="59"/>
    </w:p>
    <w:p>
      <w:pPr>
        <w:snapToGrid w:val="0"/>
        <w:spacing w:line="360" w:lineRule="auto"/>
        <w:ind w:firstLine="480" w:firstLineChars="200"/>
        <w:rPr>
          <w:color w:val="auto"/>
          <w:sz w:val="24"/>
          <w:highlight w:val="none"/>
        </w:rPr>
      </w:pPr>
      <w:bookmarkStart w:id="60" w:name="_Toc28392"/>
      <w:r>
        <w:rPr>
          <w:rFonts w:hint="eastAsia"/>
          <w:color w:val="auto"/>
          <w:sz w:val="24"/>
          <w:highlight w:val="none"/>
        </w:rPr>
        <w:t>附件5技术响应表（格式）</w:t>
      </w:r>
      <w:bookmarkEnd w:id="60"/>
    </w:p>
    <w:p>
      <w:pPr>
        <w:snapToGrid w:val="0"/>
        <w:spacing w:line="360" w:lineRule="auto"/>
        <w:ind w:firstLine="480" w:firstLineChars="200"/>
        <w:rPr>
          <w:color w:val="auto"/>
          <w:sz w:val="24"/>
          <w:highlight w:val="none"/>
        </w:rPr>
      </w:pPr>
      <w:bookmarkStart w:id="61" w:name="_Toc6234"/>
      <w:r>
        <w:rPr>
          <w:rFonts w:hint="eastAsia"/>
          <w:color w:val="auto"/>
          <w:sz w:val="24"/>
          <w:highlight w:val="none"/>
        </w:rPr>
        <w:t>附件6 商务响应表（格式）</w:t>
      </w:r>
      <w:bookmarkEnd w:id="61"/>
    </w:p>
    <w:p>
      <w:pPr>
        <w:snapToGrid w:val="0"/>
        <w:spacing w:line="360" w:lineRule="auto"/>
        <w:ind w:firstLine="480" w:firstLineChars="200"/>
        <w:rPr>
          <w:color w:val="auto"/>
          <w:sz w:val="24"/>
          <w:highlight w:val="none"/>
        </w:rPr>
      </w:pPr>
      <w:bookmarkStart w:id="62" w:name="_Toc26231"/>
      <w:r>
        <w:rPr>
          <w:rFonts w:hint="eastAsia"/>
          <w:color w:val="auto"/>
          <w:sz w:val="24"/>
          <w:highlight w:val="none"/>
        </w:rPr>
        <w:t>附件7</w:t>
      </w:r>
      <w:r>
        <w:rPr>
          <w:rFonts w:hint="eastAsia"/>
          <w:color w:val="auto"/>
          <w:sz w:val="24"/>
          <w:highlight w:val="none"/>
          <w:lang w:val="en-US" w:eastAsia="zh-CN"/>
        </w:rPr>
        <w:t xml:space="preserve"> </w:t>
      </w:r>
      <w:r>
        <w:rPr>
          <w:rFonts w:hint="eastAsia"/>
          <w:color w:val="auto"/>
          <w:sz w:val="24"/>
          <w:highlight w:val="none"/>
        </w:rPr>
        <w:t>法定代表人身份证明（格式）</w:t>
      </w:r>
      <w:bookmarkEnd w:id="62"/>
    </w:p>
    <w:p>
      <w:pPr>
        <w:snapToGrid w:val="0"/>
        <w:spacing w:line="360" w:lineRule="auto"/>
        <w:ind w:firstLine="480" w:firstLineChars="200"/>
        <w:rPr>
          <w:color w:val="auto"/>
          <w:sz w:val="24"/>
          <w:highlight w:val="none"/>
        </w:rPr>
      </w:pPr>
      <w:bookmarkStart w:id="63" w:name="_Toc18484"/>
      <w:r>
        <w:rPr>
          <w:rFonts w:hint="eastAsia"/>
          <w:color w:val="auto"/>
          <w:sz w:val="24"/>
          <w:highlight w:val="none"/>
        </w:rPr>
        <w:t>附件8</w:t>
      </w:r>
      <w:r>
        <w:rPr>
          <w:rFonts w:hint="eastAsia"/>
          <w:color w:val="auto"/>
          <w:sz w:val="24"/>
          <w:highlight w:val="none"/>
          <w:lang w:val="en-US" w:eastAsia="zh-CN"/>
        </w:rPr>
        <w:t xml:space="preserve"> </w:t>
      </w:r>
      <w:r>
        <w:rPr>
          <w:rFonts w:hint="eastAsia"/>
          <w:color w:val="auto"/>
          <w:sz w:val="24"/>
          <w:highlight w:val="none"/>
        </w:rPr>
        <w:t>法定代表人授权书（格式）</w:t>
      </w:r>
      <w:bookmarkEnd w:id="63"/>
    </w:p>
    <w:p>
      <w:pPr>
        <w:snapToGrid w:val="0"/>
        <w:spacing w:line="360" w:lineRule="auto"/>
        <w:ind w:firstLine="480" w:firstLineChars="200"/>
        <w:rPr>
          <w:color w:val="auto"/>
          <w:sz w:val="24"/>
          <w:highlight w:val="none"/>
        </w:rPr>
      </w:pPr>
      <w:bookmarkStart w:id="64" w:name="_Toc31857"/>
      <w:r>
        <w:rPr>
          <w:rFonts w:hint="eastAsia"/>
          <w:color w:val="auto"/>
          <w:sz w:val="24"/>
          <w:highlight w:val="none"/>
        </w:rPr>
        <w:t>附件9 证明文件</w:t>
      </w:r>
      <w:bookmarkEnd w:id="64"/>
    </w:p>
    <w:p>
      <w:pPr>
        <w:snapToGrid w:val="0"/>
        <w:spacing w:line="360" w:lineRule="auto"/>
        <w:ind w:firstLine="480" w:firstLineChars="200"/>
        <w:rPr>
          <w:rFonts w:hint="eastAsia"/>
          <w:color w:val="auto"/>
          <w:sz w:val="24"/>
          <w:highlight w:val="none"/>
        </w:rPr>
      </w:pPr>
      <w:bookmarkStart w:id="65" w:name="_Toc23116"/>
      <w:r>
        <w:rPr>
          <w:rFonts w:hint="eastAsia"/>
          <w:color w:val="auto"/>
          <w:sz w:val="24"/>
          <w:highlight w:val="none"/>
        </w:rPr>
        <w:t>附件10 供应商承诺书（格式）</w:t>
      </w:r>
      <w:bookmarkEnd w:id="65"/>
    </w:p>
    <w:p>
      <w:pPr>
        <w:snapToGrid w:val="0"/>
        <w:spacing w:line="360" w:lineRule="auto"/>
        <w:ind w:firstLine="480" w:firstLineChars="200"/>
        <w:rPr>
          <w:rFonts w:hint="eastAsia" w:eastAsia="宋体"/>
          <w:color w:val="auto"/>
          <w:sz w:val="24"/>
          <w:highlight w:val="none"/>
          <w:lang w:val="en-US" w:eastAsia="zh-CN"/>
        </w:rPr>
      </w:pPr>
      <w:r>
        <w:rPr>
          <w:rFonts w:hint="eastAsia" w:eastAsia="宋体"/>
          <w:color w:val="auto"/>
          <w:sz w:val="24"/>
          <w:highlight w:val="none"/>
          <w:lang w:val="en-US" w:eastAsia="zh-CN"/>
        </w:rPr>
        <w:t>附件11 供应商信用承诺函（格式）</w:t>
      </w:r>
    </w:p>
    <w:p>
      <w:pPr>
        <w:pStyle w:val="30"/>
        <w:rPr>
          <w:rFonts w:hint="eastAsia"/>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widowControl/>
        <w:wordWrap w:val="0"/>
        <w:snapToGrid w:val="0"/>
        <w:spacing w:line="460" w:lineRule="exact"/>
        <w:ind w:firstLine="482" w:firstLineChars="200"/>
        <w:jc w:val="center"/>
        <w:rPr>
          <w:rFonts w:ascii="宋体" w:hAnsi="宋体" w:cs="宋体"/>
          <w:b/>
          <w:bCs/>
          <w:color w:val="auto"/>
          <w:kern w:val="0"/>
          <w:sz w:val="24"/>
          <w:highlight w:val="none"/>
        </w:rPr>
      </w:pPr>
    </w:p>
    <w:p>
      <w:pPr>
        <w:pStyle w:val="4"/>
        <w:rPr>
          <w:rFonts w:ascii="宋体" w:hAnsi="宋体" w:cs="宋体"/>
          <w:b/>
          <w:bCs/>
          <w:color w:val="auto"/>
          <w:kern w:val="0"/>
          <w:sz w:val="24"/>
          <w:highlight w:val="none"/>
        </w:rPr>
      </w:pPr>
    </w:p>
    <w:p>
      <w:pPr>
        <w:pStyle w:val="48"/>
        <w:rPr>
          <w:rFonts w:hAnsi="宋体"/>
          <w:b/>
          <w:bCs/>
          <w:color w:val="auto"/>
          <w:highlight w:val="none"/>
        </w:rPr>
      </w:pPr>
    </w:p>
    <w:p>
      <w:pPr>
        <w:pStyle w:val="48"/>
        <w:rPr>
          <w:rFonts w:hAnsi="宋体"/>
          <w:b/>
          <w:bCs/>
          <w:color w:val="auto"/>
          <w:highlight w:val="none"/>
        </w:rPr>
      </w:pPr>
    </w:p>
    <w:p>
      <w:pPr>
        <w:rPr>
          <w:color w:val="auto"/>
          <w:highlight w:val="none"/>
        </w:rPr>
      </w:pPr>
      <w:r>
        <w:rPr>
          <w:rFonts w:hint="eastAsia"/>
          <w:color w:val="auto"/>
          <w:highlight w:val="none"/>
        </w:rPr>
        <w:br w:type="page"/>
      </w:r>
    </w:p>
    <w:p>
      <w:pPr>
        <w:pStyle w:val="25"/>
        <w:rPr>
          <w:color w:val="auto"/>
          <w:highlight w:val="none"/>
        </w:rPr>
      </w:pPr>
    </w:p>
    <w:p>
      <w:pPr>
        <w:pStyle w:val="2"/>
        <w:rPr>
          <w:color w:val="auto"/>
          <w:highlight w:val="none"/>
        </w:rPr>
      </w:pPr>
      <w:bookmarkStart w:id="66" w:name="_Toc24743"/>
      <w:bookmarkStart w:id="67" w:name="_Toc31798"/>
      <w:r>
        <w:rPr>
          <w:rFonts w:hint="eastAsia"/>
          <w:color w:val="auto"/>
          <w:highlight w:val="none"/>
        </w:rPr>
        <w:t>附件1               投标文件封面（格式）</w:t>
      </w:r>
      <w:bookmarkEnd w:id="66"/>
      <w:bookmarkEnd w:id="67"/>
    </w:p>
    <w:p>
      <w:pPr>
        <w:widowControl/>
        <w:wordWrap w:val="0"/>
        <w:spacing w:line="460" w:lineRule="exact"/>
        <w:ind w:firstLine="482" w:firstLineChars="200"/>
        <w:jc w:val="center"/>
        <w:rPr>
          <w:rFonts w:ascii="宋体" w:hAnsi="宋体" w:cs="宋体"/>
          <w:b/>
          <w:color w:val="auto"/>
          <w:kern w:val="0"/>
          <w:sz w:val="24"/>
          <w:highlight w:val="none"/>
        </w:rPr>
      </w:pPr>
    </w:p>
    <w:p>
      <w:pPr>
        <w:snapToGrid w:val="0"/>
        <w:spacing w:line="360" w:lineRule="auto"/>
        <w:jc w:val="center"/>
        <w:rPr>
          <w:rFonts w:hint="default" w:ascii="宋体" w:hAnsi="宋体" w:eastAsia="宋体" w:cs="宋体"/>
          <w:b/>
          <w:color w:val="auto"/>
          <w:spacing w:val="90"/>
          <w:sz w:val="52"/>
          <w:szCs w:val="52"/>
          <w:highlight w:val="none"/>
          <w:u w:val="single"/>
          <w:lang w:val="en-US" w:eastAsia="zh-CN"/>
        </w:rPr>
      </w:pPr>
      <w:r>
        <w:rPr>
          <w:rFonts w:hint="eastAsia" w:ascii="宋体" w:hAnsi="宋体" w:eastAsia="宋体" w:cs="宋体"/>
          <w:b/>
          <w:snapToGrid w:val="0"/>
          <w:color w:val="auto"/>
          <w:spacing w:val="0"/>
          <w:kern w:val="0"/>
          <w:sz w:val="44"/>
          <w:szCs w:val="44"/>
          <w:highlight w:val="none"/>
          <w:u w:val="none"/>
          <w:lang w:val="en-US" w:eastAsia="zh-CN"/>
        </w:rPr>
        <w:t>驻马店中心医院</w:t>
      </w:r>
      <w:r>
        <w:rPr>
          <w:rFonts w:hint="eastAsia" w:ascii="宋体" w:hAnsi="宋体" w:eastAsia="宋体" w:cs="宋体"/>
          <w:b/>
          <w:snapToGrid w:val="0"/>
          <w:color w:val="auto"/>
          <w:spacing w:val="0"/>
          <w:kern w:val="0"/>
          <w:sz w:val="44"/>
          <w:szCs w:val="44"/>
          <w:highlight w:val="none"/>
          <w:u w:val="single"/>
          <w:lang w:val="en-US" w:eastAsia="zh-CN"/>
        </w:rPr>
        <w:t xml:space="preserve">      </w:t>
      </w:r>
      <w:r>
        <w:rPr>
          <w:rFonts w:hint="eastAsia" w:ascii="宋体" w:hAnsi="宋体" w:eastAsia="宋体" w:cs="宋体"/>
          <w:b/>
          <w:snapToGrid w:val="0"/>
          <w:color w:val="auto"/>
          <w:spacing w:val="0"/>
          <w:kern w:val="0"/>
          <w:sz w:val="44"/>
          <w:szCs w:val="44"/>
          <w:highlight w:val="none"/>
          <w:u w:val="none"/>
          <w:lang w:val="en-US" w:eastAsia="zh-CN"/>
        </w:rPr>
        <w:t>项目</w:t>
      </w:r>
    </w:p>
    <w:p>
      <w:pPr>
        <w:snapToGrid w:val="0"/>
        <w:spacing w:line="360" w:lineRule="auto"/>
        <w:jc w:val="center"/>
        <w:rPr>
          <w:rFonts w:hint="eastAsia" w:ascii="宋体" w:hAnsi="宋体" w:eastAsia="宋体" w:cs="宋体"/>
          <w:b/>
          <w:color w:val="auto"/>
          <w:spacing w:val="90"/>
          <w:sz w:val="52"/>
          <w:szCs w:val="52"/>
          <w:highlight w:val="none"/>
        </w:rPr>
      </w:pPr>
    </w:p>
    <w:p>
      <w:pPr>
        <w:snapToGrid w:val="0"/>
        <w:spacing w:line="360" w:lineRule="auto"/>
        <w:jc w:val="center"/>
        <w:rPr>
          <w:rFonts w:hint="eastAsia" w:ascii="宋体" w:hAnsi="宋体" w:eastAsia="宋体" w:cs="宋体"/>
          <w:b/>
          <w:color w:val="auto"/>
          <w:spacing w:val="90"/>
          <w:sz w:val="52"/>
          <w:szCs w:val="52"/>
          <w:highlight w:val="none"/>
        </w:rPr>
      </w:pPr>
      <w:r>
        <w:rPr>
          <w:rFonts w:hint="eastAsia" w:ascii="宋体" w:hAnsi="宋体" w:eastAsia="宋体" w:cs="宋体"/>
          <w:b/>
          <w:color w:val="auto"/>
          <w:spacing w:val="90"/>
          <w:sz w:val="52"/>
          <w:szCs w:val="52"/>
          <w:highlight w:val="none"/>
        </w:rPr>
        <w:t>投标文件</w:t>
      </w:r>
    </w:p>
    <w:p>
      <w:pPr>
        <w:spacing w:line="360" w:lineRule="auto"/>
        <w:rPr>
          <w:rFonts w:hint="eastAsia" w:ascii="宋体" w:hAnsi="宋体" w:eastAsia="宋体" w:cs="宋体"/>
          <w:color w:val="auto"/>
          <w:sz w:val="28"/>
          <w:highlight w:val="none"/>
        </w:rPr>
      </w:pPr>
    </w:p>
    <w:p>
      <w:pPr>
        <w:pStyle w:val="48"/>
        <w:spacing w:line="360" w:lineRule="auto"/>
        <w:rPr>
          <w:rFonts w:hint="eastAsia" w:ascii="宋体" w:hAnsi="宋体" w:eastAsia="宋体" w:cs="宋体"/>
          <w:color w:val="auto"/>
          <w:highlight w:val="none"/>
        </w:rPr>
      </w:pPr>
    </w:p>
    <w:p>
      <w:pPr>
        <w:pStyle w:val="48"/>
        <w:spacing w:line="360" w:lineRule="auto"/>
        <w:rPr>
          <w:rFonts w:hint="eastAsia" w:ascii="宋体" w:hAnsi="宋体" w:eastAsia="宋体" w:cs="宋体"/>
          <w:color w:val="auto"/>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rPr>
          <w:rFonts w:hint="eastAsia" w:ascii="宋体" w:hAnsi="宋体" w:eastAsia="宋体" w:cs="宋体"/>
          <w:color w:val="auto"/>
          <w:sz w:val="28"/>
          <w:highlight w:val="none"/>
        </w:rPr>
      </w:pP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spacing w:line="360" w:lineRule="auto"/>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eastAsia="zh-CN"/>
        </w:rPr>
        <w:t>盖章</w:t>
      </w:r>
      <w:r>
        <w:rPr>
          <w:rFonts w:hint="eastAsia" w:ascii="宋体" w:hAnsi="宋体" w:eastAsia="宋体" w:cs="宋体"/>
          <w:color w:val="auto"/>
          <w:sz w:val="28"/>
          <w:szCs w:val="28"/>
          <w:highlight w:val="none"/>
        </w:rPr>
        <w:t>）</w:t>
      </w:r>
    </w:p>
    <w:p>
      <w:pPr>
        <w:widowControl/>
        <w:wordWrap w:val="0"/>
        <w:spacing w:line="460" w:lineRule="exact"/>
        <w:ind w:left="0" w:leftChars="0" w:firstLine="0" w:firstLineChars="0"/>
        <w:jc w:val="center"/>
        <w:rPr>
          <w:rFonts w:ascii="宋体" w:hAnsi="宋体" w:cs="宋体"/>
          <w:b/>
          <w:color w:val="auto"/>
          <w:kern w:val="0"/>
          <w:sz w:val="24"/>
          <w:highlight w:val="none"/>
        </w:rPr>
      </w:pPr>
      <w:r>
        <w:rPr>
          <w:rFonts w:hint="eastAsia" w:ascii="宋体" w:hAnsi="宋体" w:eastAsia="宋体" w:cs="宋体"/>
          <w:color w:val="auto"/>
          <w:sz w:val="28"/>
          <w:szCs w:val="28"/>
          <w:highlight w:val="none"/>
        </w:rPr>
        <w:t>年   月   日</w:t>
      </w:r>
    </w:p>
    <w:p>
      <w:pPr>
        <w:widowControl/>
        <w:wordWrap w:val="0"/>
        <w:spacing w:line="460" w:lineRule="exact"/>
        <w:ind w:firstLine="482" w:firstLineChars="200"/>
        <w:jc w:val="left"/>
        <w:rPr>
          <w:rFonts w:ascii="宋体" w:hAnsi="宋体" w:cs="宋体"/>
          <w:b/>
          <w:color w:val="auto"/>
          <w:kern w:val="0"/>
          <w:sz w:val="24"/>
          <w:highlight w:val="none"/>
        </w:rPr>
      </w:pPr>
    </w:p>
    <w:p>
      <w:pPr>
        <w:pStyle w:val="4"/>
        <w:rPr>
          <w:rFonts w:ascii="宋体" w:hAnsi="宋体" w:cs="宋体"/>
          <w:b/>
          <w:color w:val="auto"/>
          <w:kern w:val="0"/>
          <w:sz w:val="24"/>
          <w:highlight w:val="none"/>
        </w:rPr>
      </w:pP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pStyle w:val="2"/>
        <w:rPr>
          <w:color w:val="auto"/>
          <w:highlight w:val="none"/>
        </w:rPr>
      </w:pPr>
      <w:bookmarkStart w:id="68" w:name="_Toc8818"/>
      <w:bookmarkStart w:id="69" w:name="_Toc14560"/>
      <w:r>
        <w:rPr>
          <w:rFonts w:hint="eastAsia"/>
          <w:color w:val="auto"/>
          <w:highlight w:val="none"/>
        </w:rPr>
        <w:t>附件2               投  标  书（格式）</w:t>
      </w:r>
      <w:bookmarkEnd w:id="68"/>
      <w:bookmarkEnd w:id="69"/>
    </w:p>
    <w:p>
      <w:pPr>
        <w:widowControl/>
        <w:wordWrap w:val="0"/>
        <w:snapToGrid w:val="0"/>
        <w:spacing w:line="460" w:lineRule="exact"/>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致：</w:t>
      </w:r>
      <w:r>
        <w:rPr>
          <w:rFonts w:hint="eastAsia" w:ascii="宋体" w:hAnsi="宋体" w:cs="宋体"/>
          <w:color w:val="auto"/>
          <w:kern w:val="0"/>
          <w:sz w:val="24"/>
          <w:szCs w:val="24"/>
          <w:highlight w:val="none"/>
          <w:u w:val="single"/>
        </w:rPr>
        <w:t xml:space="preserve"> （</w:t>
      </w:r>
      <w:r>
        <w:rPr>
          <w:rFonts w:hint="eastAsia" w:ascii="宋体" w:hAnsi="宋体" w:cs="宋体"/>
          <w:color w:val="auto"/>
          <w:kern w:val="0"/>
          <w:sz w:val="24"/>
          <w:szCs w:val="24"/>
          <w:highlight w:val="none"/>
          <w:u w:val="single"/>
          <w:lang w:eastAsia="zh-CN"/>
        </w:rPr>
        <w:t>采购人</w:t>
      </w:r>
      <w:r>
        <w:rPr>
          <w:rFonts w:hint="eastAsia" w:ascii="宋体" w:hAnsi="宋体" w:cs="宋体"/>
          <w:color w:val="auto"/>
          <w:kern w:val="0"/>
          <w:sz w:val="24"/>
          <w:szCs w:val="24"/>
          <w:highlight w:val="none"/>
          <w:u w:val="single"/>
        </w:rPr>
        <w:t>名称）</w:t>
      </w:r>
      <w:r>
        <w:rPr>
          <w:rFonts w:hint="eastAsia" w:ascii="宋体" w:hAnsi="宋体" w:cs="宋体"/>
          <w:color w:val="auto"/>
          <w:kern w:val="0"/>
          <w:sz w:val="24"/>
          <w:szCs w:val="24"/>
          <w:highlight w:val="none"/>
        </w:rPr>
        <w:t>：</w:t>
      </w:r>
    </w:p>
    <w:p>
      <w:pPr>
        <w:widowControl/>
        <w:wordWrap w:val="0"/>
        <w:spacing w:line="460" w:lineRule="exact"/>
        <w:ind w:firstLine="600" w:firstLineChars="25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u w:val="single"/>
          <w:lang w:val="en-US" w:eastAsia="zh-CN"/>
        </w:rPr>
        <w:t xml:space="preserve">        </w:t>
      </w:r>
      <w:r>
        <w:rPr>
          <w:rFonts w:hint="eastAsia" w:ascii="宋体" w:hAnsi="宋体" w:cs="宋体"/>
          <w:color w:val="auto"/>
          <w:kern w:val="0"/>
          <w:sz w:val="24"/>
          <w:szCs w:val="24"/>
          <w:highlight w:val="none"/>
          <w:u w:val="single"/>
        </w:rPr>
        <w:t>（投标人名称）</w:t>
      </w:r>
      <w:r>
        <w:rPr>
          <w:rFonts w:hint="eastAsia" w:ascii="宋体" w:hAnsi="宋体" w:cs="宋体"/>
          <w:color w:val="auto"/>
          <w:kern w:val="0"/>
          <w:sz w:val="24"/>
          <w:szCs w:val="24"/>
          <w:highlight w:val="none"/>
        </w:rPr>
        <w:t xml:space="preserve">现委托 </w:t>
      </w:r>
      <w:r>
        <w:rPr>
          <w:rFonts w:hint="eastAsia" w:ascii="宋体" w:hAnsi="宋体" w:cs="宋体"/>
          <w:color w:val="auto"/>
          <w:kern w:val="0"/>
          <w:sz w:val="24"/>
          <w:szCs w:val="24"/>
          <w:highlight w:val="none"/>
          <w:u w:val="single"/>
          <w:lang w:val="en-US" w:eastAsia="zh-CN"/>
        </w:rPr>
        <w:t xml:space="preserve">        </w:t>
      </w:r>
      <w:r>
        <w:rPr>
          <w:rFonts w:hint="eastAsia" w:ascii="宋体" w:hAnsi="宋体" w:cs="宋体"/>
          <w:color w:val="auto"/>
          <w:kern w:val="0"/>
          <w:sz w:val="24"/>
          <w:szCs w:val="24"/>
          <w:highlight w:val="none"/>
        </w:rPr>
        <w:t>（姓名）为我方代理人，参加贵方组织的</w:t>
      </w:r>
      <w:r>
        <w:rPr>
          <w:rFonts w:hint="eastAsia" w:ascii="宋体" w:hAnsi="宋体" w:cs="宋体"/>
          <w:color w:val="auto"/>
          <w:kern w:val="0"/>
          <w:sz w:val="24"/>
          <w:szCs w:val="24"/>
          <w:highlight w:val="none"/>
          <w:u w:val="single"/>
          <w:lang w:val="en-US" w:eastAsia="zh-CN"/>
        </w:rPr>
        <w:t xml:space="preserve">        </w:t>
      </w:r>
      <w:r>
        <w:rPr>
          <w:rFonts w:hint="eastAsia" w:ascii="宋体" w:hAnsi="宋体" w:cs="宋体"/>
          <w:color w:val="auto"/>
          <w:kern w:val="0"/>
          <w:sz w:val="24"/>
          <w:szCs w:val="24"/>
          <w:highlight w:val="none"/>
        </w:rPr>
        <w:t>项目的投标。现正式提交下述文件1份：</w:t>
      </w:r>
    </w:p>
    <w:p>
      <w:pPr>
        <w:widowControl/>
        <w:wordWrap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1、开标一览表。</w:t>
      </w:r>
    </w:p>
    <w:p>
      <w:pPr>
        <w:widowControl/>
        <w:wordWrap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2、投标报价明细表。</w:t>
      </w:r>
    </w:p>
    <w:p>
      <w:pPr>
        <w:widowControl/>
        <w:wordWrap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4、技术响应表。</w:t>
      </w:r>
    </w:p>
    <w:p>
      <w:pPr>
        <w:widowControl/>
        <w:wordWrap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4、商务响应表。</w:t>
      </w:r>
    </w:p>
    <w:p>
      <w:pPr>
        <w:widowControl/>
        <w:wordWrap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5、证明文件。</w:t>
      </w:r>
    </w:p>
    <w:p>
      <w:pPr>
        <w:widowControl/>
        <w:wordWrap w:val="0"/>
        <w:snapToGrid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6、抵制商业贿赂承诺。为便于贵方公正、择优地确定中标供应商及其投标产品和服务，我方就本次投标有关事项郑重声明并宣布同意如下：</w:t>
      </w:r>
    </w:p>
    <w:p>
      <w:pPr>
        <w:widowControl/>
        <w:wordWrap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1、我方承诺已经具备</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文件中规定的参加政府采购活动的投标人应当具备的条件。我方愿意向贵方提供任何与本</w:t>
      </w:r>
      <w:r>
        <w:rPr>
          <w:rFonts w:hint="eastAsia" w:ascii="宋体" w:hAnsi="宋体" w:cs="宋体"/>
          <w:color w:val="auto"/>
          <w:kern w:val="0"/>
          <w:sz w:val="24"/>
          <w:szCs w:val="24"/>
          <w:highlight w:val="none"/>
          <w:lang w:eastAsia="zh-CN"/>
        </w:rPr>
        <w:t>采购</w:t>
      </w:r>
      <w:r>
        <w:rPr>
          <w:rFonts w:hint="eastAsia" w:ascii="宋体" w:hAnsi="宋体" w:cs="宋体"/>
          <w:color w:val="auto"/>
          <w:kern w:val="0"/>
          <w:sz w:val="24"/>
          <w:szCs w:val="24"/>
          <w:highlight w:val="none"/>
        </w:rPr>
        <w:t>项目投标有关的数据、情况和技术资料，并根据需要提供一切承诺的证明材料，并保证其真实、合法、有效。</w:t>
      </w:r>
    </w:p>
    <w:p>
      <w:pPr>
        <w:widowControl/>
        <w:wordWrap w:val="0"/>
        <w:snapToGrid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2、我方承诺在投标活动中提供的各种材料真实有效。</w:t>
      </w:r>
    </w:p>
    <w:p>
      <w:pPr>
        <w:widowControl/>
        <w:wordWrap w:val="0"/>
        <w:snapToGrid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3、我方同意在投标文件有效期内遵守本投标文件中的承诺且在此期限期满之前均具有约束力。如果我方中标，投标文件有效期与合同履行期相同。</w:t>
      </w:r>
    </w:p>
    <w:p>
      <w:pPr>
        <w:widowControl/>
        <w:wordWrap w:val="0"/>
        <w:snapToGrid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4、我方已详细审查全部</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文件，包括修改文件（如有的话）和有关附件，将自行承担因对全部</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文件理解不正确或误解而产生的相应后果。</w:t>
      </w:r>
    </w:p>
    <w:p>
      <w:pPr>
        <w:widowControl/>
        <w:wordWrap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5、我方保证尊重评标委员会的评标结果，完全理解本</w:t>
      </w:r>
      <w:r>
        <w:rPr>
          <w:rFonts w:hint="eastAsia" w:ascii="宋体" w:hAnsi="宋体" w:cs="宋体"/>
          <w:color w:val="auto"/>
          <w:kern w:val="0"/>
          <w:sz w:val="24"/>
          <w:szCs w:val="24"/>
          <w:highlight w:val="none"/>
          <w:lang w:eastAsia="zh-CN"/>
        </w:rPr>
        <w:t>采购</w:t>
      </w:r>
      <w:r>
        <w:rPr>
          <w:rFonts w:hint="eastAsia" w:ascii="宋体" w:hAnsi="宋体" w:cs="宋体"/>
          <w:color w:val="auto"/>
          <w:kern w:val="0"/>
          <w:sz w:val="24"/>
          <w:szCs w:val="24"/>
          <w:highlight w:val="none"/>
        </w:rPr>
        <w:t>项目最低投标价不作为中标的保证。</w:t>
      </w:r>
    </w:p>
    <w:p>
      <w:pPr>
        <w:widowControl/>
        <w:wordWrap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6、我方理解并遵守</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文件的全部规定，接受</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文件中政府采购合同的全部条款且无任何异议。</w:t>
      </w:r>
    </w:p>
    <w:p>
      <w:pPr>
        <w:widowControl/>
        <w:wordWrap w:val="0"/>
        <w:snapToGrid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7、如果我方代表</w:t>
      </w:r>
      <w:r>
        <w:rPr>
          <w:rFonts w:hint="eastAsia" w:ascii="宋体" w:hAnsi="宋体" w:cs="宋体"/>
          <w:bCs/>
          <w:color w:val="auto"/>
          <w:kern w:val="0"/>
          <w:sz w:val="24"/>
          <w:szCs w:val="24"/>
          <w:highlight w:val="none"/>
        </w:rPr>
        <w:t>未按时参加开标的，视同放弃开标监督权利，认可开标结果。</w:t>
      </w:r>
    </w:p>
    <w:p>
      <w:pPr>
        <w:widowControl/>
        <w:wordWrap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8、如果我方存在投标人须知第9.3项所述情况，同意被认定为在经营活动中有重大违法记录。</w:t>
      </w:r>
    </w:p>
    <w:p>
      <w:pPr>
        <w:widowControl/>
        <w:wordWrap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9、如果发生投标人须知第2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.4.1、2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.4.3项所述情况，同意我方投标被作为无效投标处理。</w:t>
      </w:r>
    </w:p>
    <w:p>
      <w:pPr>
        <w:widowControl/>
        <w:wordWrap w:val="0"/>
        <w:spacing w:line="360" w:lineRule="auto"/>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10、如果发生投标人须知第2</w:t>
      </w:r>
      <w:r>
        <w:rPr>
          <w:rFonts w:hint="eastAsia" w:ascii="宋体" w:hAnsi="宋体" w:cs="宋体"/>
          <w:color w:val="auto"/>
          <w:kern w:val="0"/>
          <w:sz w:val="24"/>
          <w:szCs w:val="24"/>
          <w:highlight w:val="none"/>
          <w:lang w:val="en-US" w:eastAsia="zh-CN"/>
        </w:rPr>
        <w:t>5</w:t>
      </w:r>
      <w:r>
        <w:rPr>
          <w:rFonts w:hint="eastAsia" w:ascii="宋体" w:hAnsi="宋体" w:cs="宋体"/>
          <w:color w:val="auto"/>
          <w:kern w:val="0"/>
          <w:sz w:val="24"/>
          <w:szCs w:val="24"/>
          <w:highlight w:val="none"/>
        </w:rPr>
        <w:t>.5项所述情况，同意评标委员会认定我方的行为属于串通投标的行为，并自愿接受监管部门的处罚。</w:t>
      </w:r>
    </w:p>
    <w:p>
      <w:pPr>
        <w:widowControl/>
        <w:wordWrap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11、如果现场变更采购方式，我方同意在不改变</w:t>
      </w:r>
      <w:r>
        <w:rPr>
          <w:rFonts w:hint="eastAsia" w:ascii="宋体" w:hAnsi="宋体" w:cs="宋体"/>
          <w:color w:val="auto"/>
          <w:kern w:val="0"/>
          <w:sz w:val="24"/>
          <w:szCs w:val="24"/>
          <w:highlight w:val="none"/>
          <w:lang w:eastAsia="zh-CN"/>
        </w:rPr>
        <w:t>采购</w:t>
      </w:r>
      <w:r>
        <w:rPr>
          <w:rFonts w:hint="eastAsia" w:ascii="宋体" w:hAnsi="宋体" w:cs="宋体"/>
          <w:color w:val="auto"/>
          <w:kern w:val="0"/>
          <w:sz w:val="24"/>
          <w:szCs w:val="24"/>
          <w:highlight w:val="none"/>
        </w:rPr>
        <w:t>需求、资质条件等情况下，按变更后的采购方式的规定程序进行采购。</w:t>
      </w:r>
    </w:p>
    <w:p>
      <w:pPr>
        <w:widowControl/>
        <w:wordWrap w:val="0"/>
        <w:snapToGrid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12、如果被确定为中标供应商，我方同意按</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文件的规定领取中标通知书并缴纳服务费。否则，视为我方中标后自动放弃中标资格，承担由此引起的一切后果。</w:t>
      </w:r>
    </w:p>
    <w:p>
      <w:pPr>
        <w:widowControl/>
        <w:wordWrap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13、如果被确定为中标供应商，我方同意在领取中标通知书之日起日内，按照</w:t>
      </w:r>
      <w:r>
        <w:rPr>
          <w:rFonts w:hint="eastAsia" w:ascii="宋体" w:hAnsi="宋体" w:cs="宋体"/>
          <w:color w:val="auto"/>
          <w:kern w:val="0"/>
          <w:sz w:val="24"/>
          <w:szCs w:val="24"/>
          <w:highlight w:val="none"/>
          <w:lang w:val="en-US" w:eastAsia="zh-CN"/>
        </w:rPr>
        <w:t>采购</w:t>
      </w:r>
      <w:r>
        <w:rPr>
          <w:rFonts w:hint="eastAsia" w:ascii="宋体" w:hAnsi="宋体" w:cs="宋体"/>
          <w:color w:val="auto"/>
          <w:kern w:val="0"/>
          <w:sz w:val="24"/>
          <w:szCs w:val="24"/>
          <w:highlight w:val="none"/>
        </w:rPr>
        <w:t>文件的规定与采购人签订采购合同。否则，视为我方中标后无正当理由不与采购人签订合同并承担相应法律责任。</w:t>
      </w:r>
    </w:p>
    <w:p>
      <w:pPr>
        <w:widowControl/>
        <w:wordWrap w:val="0"/>
        <w:snapToGrid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14、我方最近3年内的被公开披露或查处的违法违规行为有：</w:t>
      </w:r>
    </w:p>
    <w:p>
      <w:pPr>
        <w:widowControl/>
        <w:wordWrap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w:t>
      </w:r>
    </w:p>
    <w:p>
      <w:pPr>
        <w:widowControl/>
        <w:tabs>
          <w:tab w:val="left" w:pos="939"/>
        </w:tabs>
        <w:wordWrap w:val="0"/>
        <w:snapToGrid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15、以上事项如有虚假或隐瞒，我方愿意承担一切后果和责任。</w:t>
      </w:r>
    </w:p>
    <w:p>
      <w:pPr>
        <w:widowControl/>
        <w:wordWrap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16、与本投标有关的一切正式往来通讯请寄（地址电话必须为最新并可以联系到）：</w:t>
      </w:r>
    </w:p>
    <w:p>
      <w:pPr>
        <w:widowControl/>
        <w:wordWrap w:val="0"/>
        <w:spacing w:line="460" w:lineRule="exact"/>
        <w:ind w:firstLine="480" w:firstLineChars="200"/>
        <w:jc w:val="left"/>
        <w:rPr>
          <w:rFonts w:ascii="宋体" w:hAnsi="宋体" w:cs="宋体"/>
          <w:color w:val="auto"/>
          <w:kern w:val="0"/>
          <w:sz w:val="24"/>
          <w:szCs w:val="24"/>
          <w:highlight w:val="none"/>
          <w:u w:val="single"/>
        </w:rPr>
      </w:pPr>
      <w:r>
        <w:rPr>
          <w:rFonts w:hint="eastAsia" w:ascii="宋体" w:hAnsi="宋体" w:cs="宋体"/>
          <w:color w:val="auto"/>
          <w:kern w:val="0"/>
          <w:sz w:val="24"/>
          <w:szCs w:val="24"/>
          <w:highlight w:val="none"/>
        </w:rPr>
        <w:t xml:space="preserve">   地址：  邮编：</w:t>
      </w:r>
    </w:p>
    <w:p>
      <w:pPr>
        <w:widowControl/>
        <w:wordWrap w:val="0"/>
        <w:spacing w:line="460" w:lineRule="exact"/>
        <w:ind w:firstLine="480" w:firstLineChars="200"/>
        <w:jc w:val="left"/>
        <w:rPr>
          <w:rFonts w:ascii="宋体" w:hAnsi="宋体" w:cs="宋体"/>
          <w:color w:val="auto"/>
          <w:kern w:val="0"/>
          <w:sz w:val="24"/>
          <w:szCs w:val="24"/>
          <w:highlight w:val="none"/>
          <w:u w:val="single"/>
        </w:rPr>
      </w:pPr>
      <w:r>
        <w:rPr>
          <w:rFonts w:hint="eastAsia" w:ascii="宋体" w:hAnsi="宋体" w:cs="宋体"/>
          <w:color w:val="auto"/>
          <w:kern w:val="0"/>
          <w:sz w:val="24"/>
          <w:szCs w:val="24"/>
          <w:highlight w:val="none"/>
        </w:rPr>
        <w:t xml:space="preserve">   电话：  传真： </w:t>
      </w:r>
    </w:p>
    <w:p>
      <w:pPr>
        <w:widowControl/>
        <w:wordWrap w:val="0"/>
        <w:spacing w:line="460" w:lineRule="exact"/>
        <w:ind w:firstLine="480" w:firstLineChars="200"/>
        <w:jc w:val="left"/>
        <w:rPr>
          <w:rFonts w:ascii="宋体" w:hAnsi="宋体" w:cs="宋体"/>
          <w:color w:val="auto"/>
          <w:kern w:val="0"/>
          <w:sz w:val="24"/>
          <w:szCs w:val="24"/>
          <w:highlight w:val="none"/>
        </w:rPr>
      </w:pPr>
    </w:p>
    <w:p>
      <w:pPr>
        <w:widowControl/>
        <w:wordWrap w:val="0"/>
        <w:spacing w:line="460" w:lineRule="exact"/>
        <w:ind w:firstLine="840" w:firstLineChars="350"/>
        <w:jc w:val="left"/>
        <w:rPr>
          <w:rFonts w:ascii="宋体" w:hAnsi="宋体" w:cs="宋体"/>
          <w:color w:val="auto"/>
          <w:kern w:val="0"/>
          <w:sz w:val="24"/>
          <w:szCs w:val="24"/>
          <w:highlight w:val="none"/>
          <w:u w:val="single"/>
        </w:rPr>
      </w:pPr>
      <w:r>
        <w:rPr>
          <w:rFonts w:hint="eastAsia" w:ascii="宋体" w:hAnsi="宋体" w:cs="宋体"/>
          <w:color w:val="auto"/>
          <w:kern w:val="0"/>
          <w:sz w:val="24"/>
          <w:szCs w:val="24"/>
          <w:highlight w:val="none"/>
        </w:rPr>
        <w:t xml:space="preserve">投标人代表签字： </w:t>
      </w:r>
    </w:p>
    <w:p>
      <w:pPr>
        <w:widowControl/>
        <w:wordWrap w:val="0"/>
        <w:spacing w:line="460" w:lineRule="exact"/>
        <w:ind w:firstLine="480" w:firstLineChars="200"/>
        <w:jc w:val="left"/>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   投标人：（全称并加盖公章）</w:t>
      </w:r>
    </w:p>
    <w:p>
      <w:pPr>
        <w:widowControl/>
        <w:wordWrap w:val="0"/>
        <w:spacing w:line="460" w:lineRule="exact"/>
        <w:ind w:firstLine="480" w:firstLineChars="200"/>
        <w:jc w:val="left"/>
        <w:rPr>
          <w:rFonts w:ascii="宋体" w:hAnsi="宋体" w:cs="宋体"/>
          <w:color w:val="auto"/>
          <w:kern w:val="0"/>
          <w:sz w:val="24"/>
          <w:szCs w:val="24"/>
          <w:highlight w:val="none"/>
        </w:rPr>
      </w:pPr>
    </w:p>
    <w:p>
      <w:pPr>
        <w:widowControl/>
        <w:snapToGrid w:val="0"/>
        <w:spacing w:line="460" w:lineRule="exact"/>
        <w:ind w:firstLine="3840" w:firstLineChars="1600"/>
        <w:rPr>
          <w:rFonts w:ascii="宋体" w:hAnsi="宋体" w:cs="宋体"/>
          <w:color w:val="auto"/>
          <w:kern w:val="0"/>
          <w:sz w:val="24"/>
          <w:szCs w:val="24"/>
          <w:highlight w:val="none"/>
        </w:rPr>
      </w:pPr>
      <w:r>
        <w:rPr>
          <w:rFonts w:hint="eastAsia" w:ascii="宋体" w:hAnsi="宋体" w:cs="宋体"/>
          <w:color w:val="auto"/>
          <w:kern w:val="0"/>
          <w:sz w:val="24"/>
          <w:szCs w:val="24"/>
          <w:highlight w:val="none"/>
        </w:rPr>
        <w:t xml:space="preserve">年    月   日 </w:t>
      </w:r>
    </w:p>
    <w:p>
      <w:pPr>
        <w:widowControl/>
        <w:wordWrap w:val="0"/>
        <w:snapToGrid w:val="0"/>
        <w:spacing w:before="50" w:after="50" w:line="480" w:lineRule="auto"/>
        <w:jc w:val="left"/>
        <w:rPr>
          <w:rFonts w:ascii="宋体" w:hAnsi="宋体" w:cs="宋体"/>
          <w:b/>
          <w:color w:val="auto"/>
          <w:kern w:val="0"/>
          <w:sz w:val="24"/>
          <w:highlight w:val="none"/>
        </w:rPr>
      </w:pPr>
    </w:p>
    <w:p>
      <w:pPr>
        <w:widowControl/>
        <w:wordWrap w:val="0"/>
        <w:snapToGrid w:val="0"/>
        <w:spacing w:before="50" w:after="50" w:line="480" w:lineRule="auto"/>
        <w:jc w:val="left"/>
        <w:rPr>
          <w:rFonts w:ascii="宋体" w:hAnsi="宋体" w:cs="宋体"/>
          <w:b/>
          <w:color w:val="auto"/>
          <w:kern w:val="0"/>
          <w:sz w:val="24"/>
          <w:highlight w:val="none"/>
        </w:rPr>
      </w:pPr>
    </w:p>
    <w:p>
      <w:pPr>
        <w:spacing w:line="500" w:lineRule="exact"/>
        <w:jc w:val="center"/>
        <w:rPr>
          <w:rFonts w:ascii="宋体" w:hAnsi="宋体"/>
          <w:b/>
          <w:bCs/>
          <w:color w:val="auto"/>
          <w:sz w:val="24"/>
          <w:highlight w:val="none"/>
        </w:rPr>
      </w:pPr>
    </w:p>
    <w:p>
      <w:pPr>
        <w:rPr>
          <w:color w:val="auto"/>
          <w:sz w:val="28"/>
          <w:szCs w:val="28"/>
          <w:highlight w:val="none"/>
        </w:rPr>
      </w:pPr>
      <w:r>
        <w:rPr>
          <w:rFonts w:hint="eastAsia"/>
          <w:color w:val="auto"/>
          <w:sz w:val="28"/>
          <w:szCs w:val="28"/>
          <w:highlight w:val="none"/>
        </w:rPr>
        <w:br w:type="page"/>
      </w:r>
    </w:p>
    <w:p>
      <w:pPr>
        <w:rPr>
          <w:color w:val="auto"/>
          <w:highlight w:val="none"/>
        </w:rPr>
      </w:pPr>
    </w:p>
    <w:p>
      <w:pPr>
        <w:pStyle w:val="2"/>
        <w:spacing w:before="20" w:after="20"/>
        <w:rPr>
          <w:color w:val="auto"/>
          <w:highlight w:val="none"/>
        </w:rPr>
      </w:pPr>
      <w:bookmarkStart w:id="70" w:name="_Toc7838"/>
      <w:r>
        <w:rPr>
          <w:rFonts w:hint="eastAsia"/>
          <w:color w:val="auto"/>
          <w:highlight w:val="none"/>
        </w:rPr>
        <w:t>附件3               开标一览表</w:t>
      </w:r>
      <w:bookmarkEnd w:id="70"/>
    </w:p>
    <w:p>
      <w:pPr>
        <w:spacing w:line="239" w:lineRule="auto"/>
        <w:jc w:val="right"/>
        <w:rPr>
          <w:rFonts w:ascii="宋体" w:hAnsi="宋体"/>
          <w:color w:val="auto"/>
          <w:sz w:val="24"/>
          <w:highlight w:val="none"/>
        </w:rPr>
      </w:pPr>
      <w:r>
        <w:rPr>
          <w:rFonts w:ascii="宋体" w:hAnsi="宋体"/>
          <w:color w:val="auto"/>
          <w:sz w:val="24"/>
          <w:highlight w:val="none"/>
        </w:rPr>
        <w:t>单位：人民币元</w:t>
      </w:r>
    </w:p>
    <w:p>
      <w:pPr>
        <w:rPr>
          <w:color w:val="auto"/>
          <w:highlight w:val="none"/>
        </w:rPr>
      </w:pPr>
    </w:p>
    <w:tbl>
      <w:tblPr>
        <w:tblStyle w:val="32"/>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8"/>
        <w:gridCol w:w="7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 w:val="24"/>
                <w:szCs w:val="24"/>
                <w:highlight w:val="none"/>
              </w:rPr>
            </w:pPr>
            <w:r>
              <w:rPr>
                <w:rFonts w:hint="eastAsia" w:ascii="宋体" w:hAnsi="宋体" w:cs="宋体"/>
                <w:color w:val="auto"/>
                <w:kern w:val="0"/>
                <w:sz w:val="24"/>
                <w:szCs w:val="24"/>
                <w:highlight w:val="none"/>
              </w:rPr>
              <w:t>项目名称</w:t>
            </w:r>
          </w:p>
        </w:tc>
        <w:tc>
          <w:tcPr>
            <w:tcW w:w="7708" w:type="dxa"/>
            <w:noWrap/>
            <w:vAlign w:val="center"/>
          </w:tcPr>
          <w:p>
            <w:pPr>
              <w:rPr>
                <w:rFonts w:ascii="宋体" w:hAnsi="宋体"/>
                <w:bCs/>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 w:val="24"/>
                <w:szCs w:val="24"/>
                <w:highlight w:val="none"/>
              </w:rPr>
            </w:pPr>
            <w:r>
              <w:rPr>
                <w:rFonts w:hint="eastAsia" w:ascii="宋体" w:hAnsi="宋体" w:cs="宋体"/>
                <w:color w:val="auto"/>
                <w:kern w:val="0"/>
                <w:sz w:val="24"/>
                <w:szCs w:val="24"/>
                <w:highlight w:val="none"/>
              </w:rPr>
              <w:t>投标人名称</w:t>
            </w:r>
          </w:p>
        </w:tc>
        <w:tc>
          <w:tcPr>
            <w:tcW w:w="7708" w:type="dxa"/>
            <w:noWrap/>
            <w:vAlign w:val="center"/>
          </w:tcPr>
          <w:p>
            <w:pPr>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pacing w:val="-20"/>
                <w:sz w:val="24"/>
                <w:szCs w:val="24"/>
                <w:highlight w:val="none"/>
              </w:rPr>
            </w:pPr>
            <w:r>
              <w:rPr>
                <w:rFonts w:hint="eastAsia" w:ascii="宋体" w:hAnsi="宋体"/>
                <w:color w:val="auto"/>
                <w:sz w:val="24"/>
                <w:szCs w:val="24"/>
                <w:highlight w:val="none"/>
              </w:rPr>
              <w:t>投标报价</w:t>
            </w:r>
          </w:p>
        </w:tc>
        <w:tc>
          <w:tcPr>
            <w:tcW w:w="7708" w:type="dxa"/>
            <w:noWrap/>
            <w:vAlign w:val="center"/>
          </w:tcPr>
          <w:p>
            <w:pPr>
              <w:rPr>
                <w:rFonts w:hint="default" w:ascii="宋体" w:hAnsi="宋体"/>
                <w:color w:val="auto"/>
                <w:sz w:val="24"/>
                <w:szCs w:val="24"/>
                <w:highlight w:val="none"/>
                <w:lang w:val="en-US" w:eastAsia="zh-CN"/>
              </w:rPr>
            </w:pPr>
            <w:r>
              <w:rPr>
                <w:rFonts w:hint="eastAsia" w:ascii="宋体" w:hAnsi="宋体"/>
                <w:color w:val="auto"/>
                <w:sz w:val="24"/>
                <w:szCs w:val="24"/>
                <w:highlight w:val="none"/>
                <w:lang w:val="en-US" w:eastAsia="zh-CN"/>
              </w:rPr>
              <w:t>大写：        元</w:t>
            </w:r>
          </w:p>
          <w:p>
            <w:pPr>
              <w:rPr>
                <w:rFonts w:hint="default" w:ascii="宋体" w:hAnsi="宋体" w:eastAsia="宋体"/>
                <w:color w:val="auto"/>
                <w:sz w:val="24"/>
                <w:szCs w:val="24"/>
                <w:highlight w:val="none"/>
                <w:lang w:val="en-US" w:eastAsia="zh-CN"/>
              </w:rPr>
            </w:pPr>
            <w:r>
              <w:rPr>
                <w:rFonts w:hint="eastAsia" w:ascii="宋体" w:hAnsi="宋体"/>
                <w:color w:val="auto"/>
                <w:sz w:val="24"/>
                <w:szCs w:val="24"/>
                <w:highlight w:val="none"/>
                <w:lang w:val="en-US" w:eastAsia="zh-CN"/>
              </w:rPr>
              <w:t>小写：        元（详见报价明细表）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 w:val="24"/>
                <w:szCs w:val="24"/>
                <w:highlight w:val="none"/>
              </w:rPr>
            </w:pPr>
            <w:r>
              <w:rPr>
                <w:rFonts w:hint="eastAsia" w:ascii="宋体" w:hAnsi="宋体" w:cs="宋体"/>
                <w:color w:val="auto"/>
                <w:kern w:val="0"/>
                <w:sz w:val="24"/>
                <w:szCs w:val="24"/>
                <w:highlight w:val="none"/>
              </w:rPr>
              <w:t>交货地点</w:t>
            </w:r>
          </w:p>
        </w:tc>
        <w:tc>
          <w:tcPr>
            <w:tcW w:w="7708" w:type="dxa"/>
            <w:noWrap/>
            <w:vAlign w:val="bottom"/>
          </w:tcPr>
          <w:p>
            <w:pPr>
              <w:spacing w:line="360" w:lineRule="auto"/>
              <w:ind w:firstLine="1320" w:firstLineChars="550"/>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hint="eastAsia" w:ascii="宋体" w:hAnsi="宋体" w:eastAsia="宋体" w:cs="宋体"/>
                <w:color w:val="auto"/>
                <w:kern w:val="0"/>
                <w:sz w:val="24"/>
                <w:szCs w:val="24"/>
                <w:highlight w:val="none"/>
                <w:lang w:eastAsia="zh-CN"/>
              </w:rPr>
            </w:pPr>
            <w:r>
              <w:rPr>
                <w:rFonts w:hint="eastAsia" w:ascii="宋体" w:hAnsi="宋体" w:cs="宋体"/>
                <w:color w:val="auto"/>
                <w:kern w:val="0"/>
                <w:sz w:val="24"/>
                <w:szCs w:val="24"/>
                <w:highlight w:val="none"/>
                <w:lang w:eastAsia="zh-CN"/>
              </w:rPr>
              <w:t>质保期</w:t>
            </w:r>
          </w:p>
        </w:tc>
        <w:tc>
          <w:tcPr>
            <w:tcW w:w="7708" w:type="dxa"/>
            <w:noWrap/>
            <w:vAlign w:val="bottom"/>
          </w:tcPr>
          <w:p>
            <w:pPr>
              <w:spacing w:line="360" w:lineRule="auto"/>
              <w:ind w:firstLine="1320" w:firstLineChars="550"/>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widowControl/>
              <w:snapToGrid w:val="0"/>
              <w:spacing w:before="50" w:after="50"/>
              <w:jc w:val="center"/>
              <w:rPr>
                <w:rFonts w:ascii="宋体" w:hAnsi="宋体"/>
                <w:color w:val="auto"/>
                <w:sz w:val="24"/>
                <w:szCs w:val="24"/>
                <w:highlight w:val="none"/>
              </w:rPr>
            </w:pPr>
            <w:r>
              <w:rPr>
                <w:rFonts w:hint="eastAsia" w:ascii="宋体" w:hAnsi="宋体" w:cs="宋体"/>
                <w:color w:val="auto"/>
                <w:kern w:val="0"/>
                <w:sz w:val="24"/>
                <w:szCs w:val="24"/>
                <w:highlight w:val="none"/>
              </w:rPr>
              <w:t>投标有效期</w:t>
            </w:r>
          </w:p>
        </w:tc>
        <w:tc>
          <w:tcPr>
            <w:tcW w:w="7708" w:type="dxa"/>
            <w:noWrap/>
            <w:vAlign w:val="bottom"/>
          </w:tcPr>
          <w:p>
            <w:pPr>
              <w:spacing w:line="360" w:lineRule="auto"/>
              <w:ind w:firstLine="1320" w:firstLineChars="550"/>
              <w:rPr>
                <w:rFonts w:ascii="宋体" w:hAnsi="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质量标准</w:t>
            </w:r>
          </w:p>
        </w:tc>
        <w:tc>
          <w:tcPr>
            <w:tcW w:w="7708" w:type="dxa"/>
            <w:noWrap/>
            <w:vAlign w:val="bottom"/>
          </w:tcPr>
          <w:p>
            <w:pPr>
              <w:spacing w:line="360" w:lineRule="auto"/>
              <w:ind w:firstLine="1320" w:firstLineChars="550"/>
              <w:rPr>
                <w:rFonts w:ascii="宋体" w:hAnsi="宋体"/>
                <w:color w:val="auto"/>
                <w:sz w:val="24"/>
                <w:szCs w:val="24"/>
                <w:highlight w:val="none"/>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978" w:type="dxa"/>
            <w:noWrap/>
            <w:vAlign w:val="center"/>
          </w:tcPr>
          <w:p>
            <w:pPr>
              <w:jc w:val="center"/>
              <w:rPr>
                <w:rFonts w:ascii="宋体" w:hAnsi="宋体"/>
                <w:color w:val="auto"/>
                <w:sz w:val="24"/>
                <w:szCs w:val="24"/>
                <w:highlight w:val="none"/>
              </w:rPr>
            </w:pPr>
            <w:r>
              <w:rPr>
                <w:rFonts w:hint="eastAsia" w:ascii="宋体" w:hAnsi="宋体"/>
                <w:color w:val="auto"/>
                <w:sz w:val="24"/>
                <w:szCs w:val="24"/>
                <w:highlight w:val="none"/>
              </w:rPr>
              <w:t>备  注</w:t>
            </w:r>
          </w:p>
        </w:tc>
        <w:tc>
          <w:tcPr>
            <w:tcW w:w="7708" w:type="dxa"/>
            <w:noWrap/>
            <w:vAlign w:val="center"/>
          </w:tcPr>
          <w:p>
            <w:pPr>
              <w:pStyle w:val="18"/>
              <w:ind w:left="0" w:leftChars="0"/>
              <w:rPr>
                <w:color w:val="auto"/>
                <w:sz w:val="24"/>
                <w:szCs w:val="24"/>
                <w:highlight w:val="none"/>
              </w:rPr>
            </w:pPr>
          </w:p>
        </w:tc>
      </w:tr>
    </w:tbl>
    <w:p>
      <w:pPr>
        <w:rPr>
          <w:color w:val="auto"/>
          <w:sz w:val="24"/>
          <w:szCs w:val="24"/>
          <w:highlight w:val="none"/>
        </w:rPr>
      </w:pPr>
    </w:p>
    <w:p>
      <w:pPr>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注: 1、报价一经涂改，应在涂改处加盖单位公章或投标人代表签字或盖章，否则其投标作无效标处理。</w:t>
      </w:r>
    </w:p>
    <w:p>
      <w:pPr>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2、以上报价应与“投标报价明细表”中的报价相一致。</w:t>
      </w:r>
    </w:p>
    <w:p>
      <w:pPr>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3、凡认为所投产品符合价格折扣条件的，在相应的产品的“备注”栏内注明符合何种折扣条件。</w:t>
      </w:r>
    </w:p>
    <w:p>
      <w:pPr>
        <w:spacing w:line="360" w:lineRule="auto"/>
        <w:ind w:firstLine="480" w:firstLineChars="200"/>
        <w:rPr>
          <w:rFonts w:ascii="宋体" w:hAnsi="宋体" w:cs="宋体"/>
          <w:color w:val="auto"/>
          <w:kern w:val="0"/>
          <w:sz w:val="24"/>
          <w:szCs w:val="24"/>
          <w:highlight w:val="none"/>
        </w:rPr>
      </w:pPr>
      <w:r>
        <w:rPr>
          <w:rFonts w:hint="eastAsia" w:ascii="宋体" w:hAnsi="宋体" w:cs="宋体"/>
          <w:color w:val="auto"/>
          <w:kern w:val="0"/>
          <w:sz w:val="24"/>
          <w:szCs w:val="24"/>
          <w:highlight w:val="none"/>
        </w:rPr>
        <w:t>4、投标人按格式填列，不得自行更改。否则引起的不利后果由投标人承担。</w:t>
      </w:r>
    </w:p>
    <w:p>
      <w:pPr>
        <w:spacing w:line="360" w:lineRule="auto"/>
        <w:ind w:firstLine="480" w:firstLineChars="200"/>
        <w:rPr>
          <w:rFonts w:ascii="宋体" w:hAnsi="宋体" w:cs="宋体"/>
          <w:color w:val="auto"/>
          <w:kern w:val="0"/>
          <w:sz w:val="24"/>
          <w:szCs w:val="24"/>
          <w:highlight w:val="none"/>
        </w:rPr>
      </w:pPr>
    </w:p>
    <w:p>
      <w:pPr>
        <w:rPr>
          <w:color w:val="auto"/>
          <w:sz w:val="24"/>
          <w:szCs w:val="24"/>
          <w:highlight w:val="none"/>
        </w:rPr>
      </w:pPr>
    </w:p>
    <w:p>
      <w:pPr>
        <w:rPr>
          <w:color w:val="auto"/>
          <w:sz w:val="24"/>
          <w:szCs w:val="24"/>
          <w:highlight w:val="none"/>
        </w:rPr>
      </w:pPr>
    </w:p>
    <w:p>
      <w:pPr>
        <w:spacing w:line="360" w:lineRule="auto"/>
        <w:ind w:firstLine="480" w:firstLineChars="200"/>
        <w:jc w:val="center"/>
        <w:rPr>
          <w:rFonts w:ascii="宋体" w:hAnsi="宋体"/>
          <w:color w:val="auto"/>
          <w:sz w:val="24"/>
          <w:szCs w:val="24"/>
          <w:highlight w:val="none"/>
        </w:rPr>
      </w:pPr>
      <w:bookmarkStart w:id="71" w:name="_Toc20877"/>
      <w:bookmarkStart w:id="72" w:name="_Toc11620"/>
      <w:r>
        <w:rPr>
          <w:rFonts w:hint="eastAsia" w:ascii="宋体" w:hAnsi="宋体"/>
          <w:color w:val="auto"/>
          <w:sz w:val="24"/>
          <w:szCs w:val="24"/>
          <w:highlight w:val="none"/>
        </w:rPr>
        <w:t>投标人（全称并加盖公章）：</w:t>
      </w:r>
      <w:bookmarkEnd w:id="71"/>
      <w:bookmarkEnd w:id="72"/>
    </w:p>
    <w:p>
      <w:pPr>
        <w:jc w:val="center"/>
        <w:rPr>
          <w:rFonts w:ascii="宋体" w:hAnsi="宋体"/>
          <w:color w:val="auto"/>
          <w:sz w:val="24"/>
          <w:szCs w:val="24"/>
          <w:highlight w:val="none"/>
        </w:rPr>
      </w:pPr>
    </w:p>
    <w:p>
      <w:pPr>
        <w:spacing w:line="360" w:lineRule="auto"/>
        <w:ind w:firstLine="480" w:firstLineChars="200"/>
        <w:jc w:val="center"/>
        <w:rPr>
          <w:rFonts w:ascii="宋体" w:hAnsi="宋体"/>
          <w:color w:val="auto"/>
          <w:sz w:val="24"/>
          <w:szCs w:val="24"/>
          <w:highlight w:val="none"/>
          <w:u w:val="single"/>
        </w:rPr>
      </w:pPr>
      <w:bookmarkStart w:id="73" w:name="_Toc12222"/>
      <w:bookmarkStart w:id="74" w:name="_Toc625"/>
      <w:r>
        <w:rPr>
          <w:rFonts w:hint="eastAsia" w:ascii="宋体" w:hAnsi="宋体"/>
          <w:color w:val="auto"/>
          <w:sz w:val="24"/>
          <w:szCs w:val="24"/>
          <w:highlight w:val="none"/>
        </w:rPr>
        <w:t>法定代表人或其委托代理人（签字）：</w:t>
      </w:r>
      <w:bookmarkEnd w:id="73"/>
      <w:bookmarkEnd w:id="74"/>
    </w:p>
    <w:p>
      <w:pPr>
        <w:jc w:val="center"/>
        <w:rPr>
          <w:rFonts w:ascii="宋体" w:hAnsi="宋体"/>
          <w:color w:val="auto"/>
          <w:sz w:val="24"/>
          <w:szCs w:val="24"/>
          <w:highlight w:val="none"/>
        </w:rPr>
      </w:pPr>
    </w:p>
    <w:p>
      <w:pPr>
        <w:spacing w:line="360" w:lineRule="auto"/>
        <w:ind w:firstLine="480" w:firstLineChars="200"/>
        <w:jc w:val="center"/>
        <w:rPr>
          <w:rFonts w:ascii="宋体" w:hAnsi="宋体"/>
          <w:color w:val="auto"/>
          <w:sz w:val="24"/>
          <w:szCs w:val="24"/>
          <w:highlight w:val="none"/>
        </w:rPr>
      </w:pPr>
      <w:bookmarkStart w:id="75" w:name="_Toc1330"/>
      <w:bookmarkStart w:id="76" w:name="_Toc9950"/>
      <w:r>
        <w:rPr>
          <w:rFonts w:hint="eastAsia" w:ascii="宋体" w:hAnsi="宋体"/>
          <w:color w:val="auto"/>
          <w:sz w:val="24"/>
          <w:szCs w:val="24"/>
          <w:highlight w:val="none"/>
        </w:rPr>
        <w:t>年  月  日</w:t>
      </w:r>
      <w:bookmarkEnd w:id="75"/>
      <w:bookmarkEnd w:id="76"/>
    </w:p>
    <w:p>
      <w:pPr>
        <w:rPr>
          <w:color w:val="auto"/>
          <w:sz w:val="24"/>
          <w:szCs w:val="24"/>
          <w:highlight w:val="none"/>
        </w:rPr>
      </w:pPr>
      <w:r>
        <w:rPr>
          <w:color w:val="auto"/>
          <w:sz w:val="24"/>
          <w:szCs w:val="24"/>
          <w:highlight w:val="none"/>
        </w:rPr>
        <w:br w:type="page"/>
      </w:r>
    </w:p>
    <w:p>
      <w:pPr>
        <w:rPr>
          <w:color w:val="auto"/>
          <w:highlight w:val="none"/>
        </w:rPr>
      </w:pPr>
    </w:p>
    <w:bookmarkEnd w:id="51"/>
    <w:bookmarkEnd w:id="52"/>
    <w:p>
      <w:pPr>
        <w:pStyle w:val="2"/>
        <w:spacing w:before="20" w:after="20"/>
        <w:rPr>
          <w:color w:val="auto"/>
          <w:highlight w:val="none"/>
        </w:rPr>
      </w:pPr>
      <w:bookmarkStart w:id="77" w:name="_Toc22004"/>
      <w:bookmarkStart w:id="78" w:name="_Toc24984"/>
      <w:r>
        <w:rPr>
          <w:rFonts w:hint="eastAsia"/>
          <w:color w:val="auto"/>
          <w:highlight w:val="none"/>
        </w:rPr>
        <w:t>附件4               报价明细表</w:t>
      </w:r>
      <w:bookmarkEnd w:id="77"/>
      <w:bookmarkEnd w:id="78"/>
    </w:p>
    <w:p>
      <w:pPr>
        <w:widowControl/>
        <w:wordWrap w:val="0"/>
        <w:snapToGrid w:val="0"/>
        <w:spacing w:before="50" w:after="50"/>
        <w:ind w:left="-3" w:leftChars="-72" w:right="-817" w:rightChars="-389" w:hanging="148" w:hangingChars="62"/>
        <w:jc w:val="left"/>
        <w:rPr>
          <w:rFonts w:ascii="宋体" w:hAnsi="宋体" w:cs="宋体"/>
          <w:color w:val="auto"/>
          <w:kern w:val="0"/>
          <w:sz w:val="24"/>
          <w:highlight w:val="none"/>
        </w:rPr>
      </w:pPr>
      <w:r>
        <w:rPr>
          <w:rFonts w:hint="eastAsia" w:cs="宋体"/>
          <w:color w:val="auto"/>
          <w:kern w:val="0"/>
          <w:sz w:val="24"/>
          <w:highlight w:val="none"/>
          <w:lang w:val="en-US" w:eastAsia="zh-CN"/>
        </w:rPr>
        <w:t xml:space="preserve">                               </w:t>
      </w:r>
      <w:r>
        <w:rPr>
          <w:rFonts w:hint="eastAsia" w:ascii="宋体" w:hAnsi="宋体" w:cs="宋体"/>
          <w:color w:val="auto"/>
          <w:kern w:val="0"/>
          <w:sz w:val="24"/>
          <w:highlight w:val="none"/>
        </w:rPr>
        <w:t xml:space="preserve">                       金额单位：人民币（元）</w:t>
      </w:r>
    </w:p>
    <w:tbl>
      <w:tblPr>
        <w:tblStyle w:val="32"/>
        <w:tblW w:w="909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40"/>
        <w:gridCol w:w="2012"/>
        <w:gridCol w:w="1172"/>
        <w:gridCol w:w="1494"/>
        <w:gridCol w:w="1026"/>
        <w:gridCol w:w="1283"/>
        <w:gridCol w:w="15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44" w:hRule="atLeast"/>
          <w:jc w:val="center"/>
        </w:trPr>
        <w:tc>
          <w:tcPr>
            <w:tcW w:w="540"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序号</w:t>
            </w:r>
          </w:p>
        </w:tc>
        <w:tc>
          <w:tcPr>
            <w:tcW w:w="2012" w:type="dxa"/>
            <w:tcBorders>
              <w:top w:val="single" w:color="auto" w:sz="4" w:space="0"/>
              <w:left w:val="single" w:color="auto" w:sz="4" w:space="0"/>
              <w:bottom w:val="nil"/>
              <w:right w:val="single" w:color="auto" w:sz="4" w:space="0"/>
            </w:tcBorders>
            <w:vAlign w:val="center"/>
          </w:tcPr>
          <w:p>
            <w:pPr>
              <w:widowControl/>
              <w:snapToGrid w:val="0"/>
              <w:spacing w:before="50" w:after="50"/>
              <w:jc w:val="center"/>
              <w:rPr>
                <w:rFonts w:ascii="宋体" w:hAnsi="宋体" w:cs="宋体"/>
                <w:color w:val="auto"/>
                <w:kern w:val="0"/>
                <w:sz w:val="24"/>
                <w:highlight w:val="none"/>
              </w:rPr>
            </w:pPr>
            <w:r>
              <w:rPr>
                <w:rFonts w:hint="eastAsia" w:ascii="宋体" w:hAnsi="宋体" w:cs="宋体"/>
                <w:color w:val="auto"/>
                <w:kern w:val="0"/>
                <w:sz w:val="24"/>
                <w:highlight w:val="none"/>
              </w:rPr>
              <w:t>货物名称</w:t>
            </w:r>
          </w:p>
        </w:tc>
        <w:tc>
          <w:tcPr>
            <w:tcW w:w="1172"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auto"/>
                <w:kern w:val="0"/>
                <w:sz w:val="24"/>
                <w:highlight w:val="none"/>
                <w:lang w:val="en-US" w:eastAsia="zh-CN"/>
              </w:rPr>
            </w:pPr>
            <w:r>
              <w:rPr>
                <w:rFonts w:hint="eastAsia" w:ascii="宋体" w:hAnsi="宋体" w:cs="宋体"/>
                <w:color w:val="auto"/>
                <w:kern w:val="0"/>
                <w:sz w:val="24"/>
                <w:highlight w:val="none"/>
                <w:lang w:val="en-US" w:eastAsia="zh-CN"/>
              </w:rPr>
              <w:t>品牌</w:t>
            </w:r>
          </w:p>
        </w:tc>
        <w:tc>
          <w:tcPr>
            <w:tcW w:w="1494"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default" w:ascii="宋体" w:hAnsi="宋体" w:eastAsia="宋体" w:cs="宋体"/>
                <w:color w:val="auto"/>
                <w:spacing w:val="20"/>
                <w:kern w:val="0"/>
                <w:sz w:val="24"/>
                <w:highlight w:val="none"/>
                <w:lang w:val="en-US" w:eastAsia="zh-CN"/>
              </w:rPr>
            </w:pPr>
            <w:r>
              <w:rPr>
                <w:rFonts w:hint="eastAsia" w:ascii="宋体" w:hAnsi="宋体" w:cs="宋体"/>
                <w:color w:val="auto"/>
                <w:kern w:val="0"/>
                <w:sz w:val="24"/>
                <w:highlight w:val="none"/>
              </w:rPr>
              <w:t>规格/</w:t>
            </w:r>
            <w:r>
              <w:rPr>
                <w:rFonts w:hint="eastAsia" w:ascii="宋体" w:hAnsi="宋体" w:cs="宋体"/>
                <w:color w:val="auto"/>
                <w:kern w:val="0"/>
                <w:sz w:val="24"/>
                <w:highlight w:val="none"/>
                <w:lang w:val="en-US" w:eastAsia="zh-CN"/>
              </w:rPr>
              <w:t>型号</w:t>
            </w:r>
          </w:p>
        </w:tc>
        <w:tc>
          <w:tcPr>
            <w:tcW w:w="1026"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单位</w:t>
            </w:r>
          </w:p>
        </w:tc>
        <w:tc>
          <w:tcPr>
            <w:tcW w:w="1283"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kern w:val="0"/>
                <w:sz w:val="24"/>
                <w:highlight w:val="none"/>
              </w:rPr>
              <w:t>数量</w:t>
            </w:r>
          </w:p>
        </w:tc>
        <w:tc>
          <w:tcPr>
            <w:tcW w:w="1568" w:type="dxa"/>
            <w:tcBorders>
              <w:top w:val="single" w:color="auto" w:sz="4" w:space="0"/>
              <w:left w:val="single" w:color="auto" w:sz="4" w:space="0"/>
              <w:bottom w:val="nil"/>
              <w:right w:val="single" w:color="auto" w:sz="4" w:space="0"/>
            </w:tcBorders>
            <w:vAlign w:val="center"/>
          </w:tcPr>
          <w:p>
            <w:pPr>
              <w:widowControl/>
              <w:tabs>
                <w:tab w:val="left" w:pos="1418"/>
              </w:tabs>
              <w:snapToGrid w:val="0"/>
              <w:spacing w:before="50" w:after="50" w:line="360" w:lineRule="exact"/>
              <w:jc w:val="center"/>
              <w:rPr>
                <w:rFonts w:hint="eastAsia" w:ascii="宋体" w:hAnsi="宋体" w:cs="宋体"/>
                <w:color w:val="auto"/>
                <w:kern w:val="0"/>
                <w:sz w:val="24"/>
                <w:highlight w:val="none"/>
              </w:rPr>
            </w:pPr>
            <w:r>
              <w:rPr>
                <w:rFonts w:hint="eastAsia" w:ascii="宋体" w:hAnsi="宋体" w:cs="宋体"/>
                <w:color w:val="auto"/>
                <w:kern w:val="0"/>
                <w:sz w:val="24"/>
                <w:highlight w:val="none"/>
              </w:rPr>
              <w:t>单价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28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56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28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56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28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56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28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56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28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56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28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56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28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56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28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56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1" w:hRule="atLeast"/>
          <w:jc w:val="center"/>
        </w:trPr>
        <w:tc>
          <w:tcPr>
            <w:tcW w:w="540"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201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r>
              <w:rPr>
                <w:rFonts w:hint="eastAsia" w:ascii="宋体" w:hAnsi="宋体" w:cs="宋体"/>
                <w:color w:val="auto"/>
                <w:spacing w:val="20"/>
                <w:kern w:val="0"/>
                <w:sz w:val="24"/>
                <w:highlight w:val="none"/>
              </w:rPr>
              <w:t xml:space="preserve">…… </w:t>
            </w:r>
          </w:p>
        </w:tc>
        <w:tc>
          <w:tcPr>
            <w:tcW w:w="1172"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494"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026"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283"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c>
          <w:tcPr>
            <w:tcW w:w="1568" w:type="dxa"/>
            <w:tcBorders>
              <w:top w:val="single" w:color="auto" w:sz="4" w:space="0"/>
              <w:left w:val="single" w:color="auto" w:sz="4" w:space="0"/>
              <w:bottom w:val="single" w:color="auto" w:sz="4" w:space="0"/>
              <w:right w:val="single" w:color="auto" w:sz="4" w:space="0"/>
            </w:tcBorders>
          </w:tcPr>
          <w:p>
            <w:pPr>
              <w:widowControl/>
              <w:tabs>
                <w:tab w:val="left" w:pos="1418"/>
              </w:tabs>
              <w:snapToGrid w:val="0"/>
              <w:spacing w:before="50" w:after="50" w:line="360" w:lineRule="exact"/>
              <w:jc w:val="center"/>
              <w:rPr>
                <w:rFonts w:ascii="宋体" w:hAnsi="宋体" w:cs="宋体"/>
                <w:color w:val="auto"/>
                <w:spacing w:val="20"/>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7527" w:type="dxa"/>
            <w:gridSpan w:val="6"/>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auto"/>
                <w:spacing w:val="20"/>
                <w:kern w:val="0"/>
                <w:sz w:val="24"/>
                <w:highlight w:val="none"/>
                <w:lang w:val="en-US" w:eastAsia="zh-CN"/>
              </w:rPr>
            </w:pPr>
            <w:r>
              <w:rPr>
                <w:rFonts w:hint="eastAsia" w:ascii="宋体" w:hAnsi="宋体" w:cs="宋体"/>
                <w:color w:val="auto"/>
                <w:spacing w:val="20"/>
                <w:kern w:val="0"/>
                <w:sz w:val="24"/>
                <w:highlight w:val="none"/>
              </w:rPr>
              <w:t>投标总价(</w:t>
            </w:r>
            <w:r>
              <w:rPr>
                <w:rFonts w:hint="eastAsia" w:ascii="宋体" w:hAnsi="宋体" w:cs="宋体"/>
                <w:color w:val="auto"/>
                <w:kern w:val="0"/>
                <w:sz w:val="24"/>
                <w:szCs w:val="21"/>
                <w:highlight w:val="none"/>
              </w:rPr>
              <w:t>大写)：</w:t>
            </w:r>
          </w:p>
        </w:tc>
        <w:tc>
          <w:tcPr>
            <w:tcW w:w="1568" w:type="dxa"/>
            <w:tcBorders>
              <w:top w:val="single" w:color="auto" w:sz="4" w:space="0"/>
              <w:left w:val="single" w:color="auto" w:sz="4" w:space="0"/>
              <w:bottom w:val="single" w:color="auto" w:sz="4" w:space="0"/>
              <w:right w:val="single" w:color="auto" w:sz="4" w:space="0"/>
            </w:tcBorders>
            <w:vAlign w:val="top"/>
          </w:tcPr>
          <w:p>
            <w:pPr>
              <w:widowControl/>
              <w:tabs>
                <w:tab w:val="left" w:pos="1418"/>
              </w:tabs>
              <w:snapToGrid w:val="0"/>
              <w:spacing w:before="50" w:after="50" w:line="360" w:lineRule="exact"/>
              <w:jc w:val="left"/>
              <w:rPr>
                <w:rFonts w:hint="eastAsia" w:ascii="宋体" w:hAnsi="宋体" w:cs="宋体"/>
                <w:color w:val="auto"/>
                <w:kern w:val="0"/>
                <w:sz w:val="24"/>
                <w:szCs w:val="21"/>
                <w:highlight w:val="none"/>
              </w:rPr>
            </w:pPr>
            <w:r>
              <w:rPr>
                <w:rFonts w:hint="eastAsia" w:ascii="宋体" w:hAnsi="宋体" w:cs="宋体"/>
                <w:color w:val="auto"/>
                <w:kern w:val="0"/>
                <w:sz w:val="24"/>
                <w:szCs w:val="21"/>
                <w:highlight w:val="none"/>
              </w:rPr>
              <w:t>￥</w:t>
            </w:r>
          </w:p>
        </w:tc>
      </w:tr>
    </w:tbl>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color w:val="auto"/>
          <w:highlight w:val="none"/>
        </w:rPr>
      </w:pPr>
      <w:r>
        <w:rPr>
          <w:rFonts w:hint="eastAsia" w:ascii="宋体" w:hAnsi="宋体" w:cs="宋体"/>
          <w:color w:val="auto"/>
          <w:kern w:val="0"/>
          <w:sz w:val="24"/>
          <w:highlight w:val="none"/>
        </w:rPr>
        <w:t>年    月    日</w:t>
      </w:r>
    </w:p>
    <w:p>
      <w:pPr>
        <w:pStyle w:val="2"/>
        <w:rPr>
          <w:color w:val="auto"/>
          <w:highlight w:val="none"/>
        </w:rPr>
      </w:pPr>
      <w:r>
        <w:rPr>
          <w:rFonts w:hint="eastAsia"/>
          <w:color w:val="auto"/>
          <w:highlight w:val="none"/>
        </w:rPr>
        <w:br w:type="page"/>
      </w:r>
      <w:bookmarkStart w:id="79" w:name="_Toc226"/>
      <w:bookmarkStart w:id="80" w:name="_Toc15804"/>
      <w:r>
        <w:rPr>
          <w:rFonts w:hint="eastAsia"/>
          <w:color w:val="auto"/>
          <w:highlight w:val="none"/>
        </w:rPr>
        <w:t>附件5               技术响应表（格式）</w:t>
      </w:r>
      <w:bookmarkEnd w:id="79"/>
      <w:bookmarkEnd w:id="80"/>
    </w:p>
    <w:p>
      <w:pPr>
        <w:widowControl/>
        <w:wordWrap w:val="0"/>
        <w:snapToGrid w:val="0"/>
        <w:spacing w:before="50" w:afterLines="50"/>
        <w:jc w:val="left"/>
        <w:rPr>
          <w:rFonts w:hint="eastAsia" w:ascii="宋体" w:hAnsi="宋体" w:eastAsia="宋体" w:cs="宋体"/>
          <w:color w:val="auto"/>
          <w:kern w:val="0"/>
          <w:sz w:val="24"/>
          <w:highlight w:val="none"/>
          <w:u w:val="single"/>
          <w:lang w:eastAsia="zh-CN"/>
        </w:rPr>
      </w:pPr>
      <w:r>
        <w:rPr>
          <w:rFonts w:hint="eastAsia" w:cs="宋体"/>
          <w:color w:val="auto"/>
          <w:kern w:val="0"/>
          <w:sz w:val="24"/>
          <w:highlight w:val="none"/>
          <w:lang w:val="en-US" w:eastAsia="zh-CN"/>
        </w:rPr>
        <w:t xml:space="preserve"> </w:t>
      </w:r>
    </w:p>
    <w:tbl>
      <w:tblPr>
        <w:tblStyle w:val="33"/>
        <w:tblpPr w:leftFromText="180" w:rightFromText="180" w:vertAnchor="text" w:horzAnchor="page" w:tblpX="1410" w:tblpY="53"/>
        <w:tblOverlap w:val="never"/>
        <w:tblW w:w="8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9"/>
        <w:gridCol w:w="1712"/>
        <w:gridCol w:w="2114"/>
        <w:gridCol w:w="2273"/>
        <w:gridCol w:w="1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1" w:hRule="atLeast"/>
        </w:trPr>
        <w:tc>
          <w:tcPr>
            <w:tcW w:w="869" w:type="dxa"/>
            <w:vAlign w:val="center"/>
          </w:tcPr>
          <w:p>
            <w:pPr>
              <w:jc w:val="center"/>
              <w:rPr>
                <w:color w:val="auto"/>
                <w:sz w:val="24"/>
                <w:highlight w:val="none"/>
              </w:rPr>
            </w:pPr>
            <w:r>
              <w:rPr>
                <w:rFonts w:hint="eastAsia"/>
                <w:color w:val="auto"/>
                <w:sz w:val="24"/>
                <w:highlight w:val="none"/>
              </w:rPr>
              <w:t>序号</w:t>
            </w:r>
          </w:p>
        </w:tc>
        <w:tc>
          <w:tcPr>
            <w:tcW w:w="1712" w:type="dxa"/>
            <w:vAlign w:val="center"/>
          </w:tcPr>
          <w:p>
            <w:pPr>
              <w:jc w:val="center"/>
              <w:rPr>
                <w:color w:val="auto"/>
                <w:sz w:val="24"/>
                <w:highlight w:val="none"/>
              </w:rPr>
            </w:pPr>
            <w:r>
              <w:rPr>
                <w:rFonts w:hint="eastAsia"/>
                <w:color w:val="auto"/>
                <w:sz w:val="24"/>
                <w:highlight w:val="none"/>
              </w:rPr>
              <w:t>货物名称</w:t>
            </w:r>
          </w:p>
        </w:tc>
        <w:tc>
          <w:tcPr>
            <w:tcW w:w="2114" w:type="dxa"/>
            <w:vAlign w:val="center"/>
          </w:tcPr>
          <w:p>
            <w:pPr>
              <w:spacing w:line="360" w:lineRule="auto"/>
              <w:jc w:val="center"/>
              <w:rPr>
                <w:color w:val="auto"/>
                <w:sz w:val="24"/>
                <w:highlight w:val="none"/>
              </w:rPr>
            </w:pPr>
            <w:r>
              <w:rPr>
                <w:rFonts w:hint="eastAsia" w:ascii="宋体" w:hAnsi="宋体" w:cs="宋体"/>
                <w:color w:val="auto"/>
                <w:kern w:val="0"/>
                <w:sz w:val="24"/>
                <w:highlight w:val="none"/>
                <w:lang w:val="en-US" w:eastAsia="zh-CN"/>
              </w:rPr>
              <w:t>采购</w:t>
            </w:r>
            <w:r>
              <w:rPr>
                <w:rFonts w:hint="eastAsia" w:ascii="宋体" w:hAnsi="宋体" w:cs="宋体"/>
                <w:color w:val="auto"/>
                <w:kern w:val="0"/>
                <w:sz w:val="24"/>
                <w:highlight w:val="none"/>
              </w:rPr>
              <w:t>文件要求</w:t>
            </w:r>
          </w:p>
        </w:tc>
        <w:tc>
          <w:tcPr>
            <w:tcW w:w="2273"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投标文件响应</w:t>
            </w:r>
          </w:p>
        </w:tc>
        <w:tc>
          <w:tcPr>
            <w:tcW w:w="1952" w:type="dxa"/>
            <w:vAlign w:val="center"/>
          </w:tcPr>
          <w:p>
            <w:pPr>
              <w:spacing w:line="360" w:lineRule="auto"/>
              <w:jc w:val="center"/>
              <w:rPr>
                <w:rFonts w:ascii="宋体" w:hAnsi="宋体" w:cs="宋体"/>
                <w:color w:val="auto"/>
                <w:sz w:val="24"/>
                <w:highlight w:val="none"/>
              </w:rPr>
            </w:pPr>
            <w:r>
              <w:rPr>
                <w:rFonts w:hint="eastAsia" w:ascii="宋体" w:hAnsi="宋体" w:cs="宋体"/>
                <w:color w:val="auto"/>
                <w:kern w:val="0"/>
                <w:sz w:val="24"/>
                <w:highlight w:val="none"/>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1</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color w:val="auto"/>
                <w:sz w:val="24"/>
                <w:highlight w:val="none"/>
              </w:rPr>
            </w:pPr>
          </w:p>
        </w:tc>
        <w:tc>
          <w:tcPr>
            <w:tcW w:w="1952" w:type="dxa"/>
            <w:vAlign w:val="center"/>
          </w:tcPr>
          <w:p>
            <w:pPr>
              <w:jc w:val="center"/>
              <w:rPr>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2</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3</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4</w:t>
            </w:r>
          </w:p>
        </w:tc>
        <w:tc>
          <w:tcPr>
            <w:tcW w:w="1712" w:type="dxa"/>
            <w:vAlign w:val="center"/>
          </w:tcPr>
          <w:p>
            <w:pPr>
              <w:jc w:val="center"/>
              <w:rPr>
                <w:color w:val="auto"/>
                <w:sz w:val="24"/>
                <w:highlight w:val="none"/>
              </w:rPr>
            </w:pPr>
          </w:p>
        </w:tc>
        <w:tc>
          <w:tcPr>
            <w:tcW w:w="2114" w:type="dxa"/>
            <w:vAlign w:val="center"/>
          </w:tcPr>
          <w:p>
            <w:pPr>
              <w:jc w:val="center"/>
              <w:rPr>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869" w:type="dxa"/>
            <w:vAlign w:val="center"/>
          </w:tcPr>
          <w:p>
            <w:pPr>
              <w:jc w:val="center"/>
              <w:rPr>
                <w:color w:val="auto"/>
                <w:sz w:val="24"/>
                <w:highlight w:val="none"/>
              </w:rPr>
            </w:pPr>
            <w:r>
              <w:rPr>
                <w:rFonts w:hint="eastAsia"/>
                <w:color w:val="auto"/>
                <w:sz w:val="24"/>
                <w:highlight w:val="none"/>
              </w:rPr>
              <w:t>...</w:t>
            </w:r>
          </w:p>
        </w:tc>
        <w:tc>
          <w:tcPr>
            <w:tcW w:w="1712" w:type="dxa"/>
            <w:vAlign w:val="center"/>
          </w:tcPr>
          <w:p>
            <w:pPr>
              <w:jc w:val="center"/>
              <w:rPr>
                <w:color w:val="auto"/>
                <w:sz w:val="24"/>
                <w:highlight w:val="none"/>
              </w:rPr>
            </w:pPr>
          </w:p>
        </w:tc>
        <w:tc>
          <w:tcPr>
            <w:tcW w:w="2114" w:type="dxa"/>
            <w:vAlign w:val="center"/>
          </w:tcPr>
          <w:p>
            <w:pPr>
              <w:jc w:val="center"/>
              <w:rPr>
                <w:bCs/>
                <w:color w:val="auto"/>
                <w:sz w:val="24"/>
                <w:highlight w:val="none"/>
              </w:rPr>
            </w:pPr>
          </w:p>
        </w:tc>
        <w:tc>
          <w:tcPr>
            <w:tcW w:w="2273" w:type="dxa"/>
            <w:vAlign w:val="center"/>
          </w:tcPr>
          <w:p>
            <w:pPr>
              <w:jc w:val="center"/>
              <w:rPr>
                <w:bCs/>
                <w:color w:val="auto"/>
                <w:sz w:val="24"/>
                <w:highlight w:val="none"/>
              </w:rPr>
            </w:pPr>
          </w:p>
        </w:tc>
        <w:tc>
          <w:tcPr>
            <w:tcW w:w="1952" w:type="dxa"/>
            <w:vAlign w:val="center"/>
          </w:tcPr>
          <w:p>
            <w:pPr>
              <w:jc w:val="center"/>
              <w:rPr>
                <w:bCs/>
                <w:color w:val="auto"/>
                <w:sz w:val="24"/>
                <w:highlight w:val="none"/>
              </w:rPr>
            </w:pPr>
          </w:p>
        </w:tc>
      </w:tr>
    </w:tbl>
    <w:p>
      <w:pPr>
        <w:rPr>
          <w:b/>
          <w:color w:val="auto"/>
          <w:kern w:val="0"/>
          <w:sz w:val="24"/>
          <w:highlight w:val="none"/>
        </w:rPr>
      </w:pPr>
    </w:p>
    <w:p>
      <w:pPr>
        <w:widowControl/>
        <w:wordWrap w:val="0"/>
        <w:spacing w:before="50" w:after="50" w:line="480" w:lineRule="auto"/>
        <w:jc w:val="left"/>
        <w:rPr>
          <w:rFonts w:ascii="宋体" w:hAnsi="宋体" w:cs="宋体"/>
          <w:bCs/>
          <w:color w:val="auto"/>
          <w:kern w:val="0"/>
          <w:sz w:val="24"/>
          <w:highlight w:val="none"/>
        </w:rPr>
      </w:pPr>
      <w:r>
        <w:rPr>
          <w:rFonts w:hint="eastAsia" w:ascii="宋体" w:hAnsi="宋体" w:cs="宋体"/>
          <w:bCs/>
          <w:color w:val="auto"/>
          <w:kern w:val="0"/>
          <w:sz w:val="24"/>
          <w:highlight w:val="none"/>
        </w:rPr>
        <w:t>注：投标人必须如实完整填写表格， “偏离情况”是指“正偏离”、“负偏离”或“无偏离”。</w:t>
      </w:r>
    </w:p>
    <w:p>
      <w:pPr>
        <w:pStyle w:val="52"/>
        <w:rPr>
          <w:bCs/>
          <w:color w:val="auto"/>
          <w:kern w:val="0"/>
          <w:highlight w:val="none"/>
        </w:rPr>
      </w:pPr>
    </w:p>
    <w:p>
      <w:pPr>
        <w:pStyle w:val="52"/>
        <w:rPr>
          <w:bCs/>
          <w:color w:val="auto"/>
          <w:kern w:val="0"/>
          <w:highlight w:val="none"/>
        </w:rPr>
      </w:pPr>
    </w:p>
    <w:p>
      <w:pPr>
        <w:pStyle w:val="52"/>
        <w:rPr>
          <w:bCs/>
          <w:color w:val="auto"/>
          <w:kern w:val="0"/>
          <w:highlight w:val="none"/>
        </w:rPr>
      </w:pPr>
    </w:p>
    <w:p>
      <w:pPr>
        <w:widowControl/>
        <w:wordWrap w:val="0"/>
        <w:spacing w:line="460" w:lineRule="exact"/>
        <w:ind w:firstLine="2760" w:firstLineChars="1150"/>
        <w:jc w:val="left"/>
        <w:rPr>
          <w:rFonts w:ascii="宋体" w:hAnsi="宋体" w:cs="宋体"/>
          <w:color w:val="auto"/>
          <w:kern w:val="0"/>
          <w:sz w:val="24"/>
          <w:highlight w:val="none"/>
          <w:u w:val="single"/>
        </w:rPr>
      </w:pPr>
      <w:r>
        <w:rPr>
          <w:rFonts w:hint="eastAsia" w:ascii="宋体" w:hAnsi="宋体" w:cs="宋体"/>
          <w:color w:val="auto"/>
          <w:kern w:val="0"/>
          <w:sz w:val="24"/>
          <w:highlight w:val="none"/>
        </w:rPr>
        <w:t xml:space="preserve">投标人代表签字： </w:t>
      </w:r>
    </w:p>
    <w:p>
      <w:pPr>
        <w:widowControl/>
        <w:wordWrap w:val="0"/>
        <w:snapToGrid w:val="0"/>
        <w:spacing w:line="460" w:lineRule="exact"/>
        <w:ind w:firstLine="2760" w:firstLineChars="1150"/>
        <w:jc w:val="left"/>
        <w:rPr>
          <w:rFonts w:ascii="宋体" w:hAnsi="宋体" w:cs="宋体"/>
          <w:color w:val="auto"/>
          <w:kern w:val="0"/>
          <w:sz w:val="52"/>
          <w:szCs w:val="52"/>
          <w:highlight w:val="none"/>
        </w:rPr>
      </w:pPr>
      <w:r>
        <w:rPr>
          <w:rFonts w:hint="eastAsia" w:ascii="宋体" w:hAnsi="宋体" w:cs="宋体"/>
          <w:color w:val="auto"/>
          <w:kern w:val="0"/>
          <w:sz w:val="24"/>
          <w:highlight w:val="none"/>
        </w:rPr>
        <w:t>投标人：（全称并加盖公章）</w:t>
      </w:r>
    </w:p>
    <w:p>
      <w:pPr>
        <w:widowControl/>
        <w:wordWrap w:val="0"/>
        <w:snapToGrid w:val="0"/>
        <w:spacing w:line="460" w:lineRule="exact"/>
        <w:ind w:firstLine="1040" w:firstLineChars="200"/>
        <w:jc w:val="left"/>
        <w:rPr>
          <w:rFonts w:ascii="宋体" w:hAnsi="宋体" w:cs="宋体"/>
          <w:color w:val="auto"/>
          <w:kern w:val="0"/>
          <w:sz w:val="52"/>
          <w:szCs w:val="52"/>
          <w:highlight w:val="none"/>
          <w:u w:val="single"/>
        </w:rPr>
      </w:pPr>
    </w:p>
    <w:p>
      <w:pPr>
        <w:widowControl/>
        <w:wordWrap w:val="0"/>
        <w:spacing w:line="460" w:lineRule="exact"/>
        <w:ind w:firstLine="4800" w:firstLineChars="20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rFonts w:ascii="宋体" w:hAnsi="宋体" w:cs="宋体"/>
          <w:b/>
          <w:color w:val="auto"/>
          <w:kern w:val="0"/>
          <w:sz w:val="24"/>
          <w:highlight w:val="none"/>
        </w:rPr>
      </w:pPr>
      <w:r>
        <w:rPr>
          <w:rFonts w:hint="eastAsia" w:ascii="宋体" w:hAnsi="宋体" w:cs="宋体"/>
          <w:b/>
          <w:color w:val="auto"/>
          <w:kern w:val="0"/>
          <w:sz w:val="24"/>
          <w:highlight w:val="none"/>
        </w:rPr>
        <w:br w:type="page"/>
      </w:r>
    </w:p>
    <w:p>
      <w:pPr>
        <w:rPr>
          <w:color w:val="auto"/>
          <w:highlight w:val="none"/>
        </w:rPr>
      </w:pPr>
    </w:p>
    <w:p>
      <w:pPr>
        <w:widowControl/>
        <w:wordWrap w:val="0"/>
        <w:snapToGrid w:val="0"/>
        <w:spacing w:line="460" w:lineRule="exact"/>
        <w:jc w:val="left"/>
        <w:outlineLvl w:val="0"/>
        <w:rPr>
          <w:rFonts w:hint="eastAsia" w:ascii="Arial" w:hAnsi="Arial" w:eastAsia="新宋体"/>
          <w:b/>
          <w:color w:val="auto"/>
          <w:sz w:val="28"/>
          <w:highlight w:val="none"/>
          <w:lang w:eastAsia="zh-CN"/>
        </w:rPr>
      </w:pPr>
      <w:bookmarkStart w:id="81" w:name="_Toc20420"/>
      <w:bookmarkStart w:id="82" w:name="_Toc29960"/>
      <w:bookmarkStart w:id="83" w:name="_Toc14290"/>
      <w:r>
        <w:rPr>
          <w:rFonts w:hint="eastAsia" w:ascii="Arial" w:hAnsi="Arial" w:eastAsia="新宋体"/>
          <w:b/>
          <w:color w:val="auto"/>
          <w:sz w:val="28"/>
          <w:highlight w:val="none"/>
        </w:rPr>
        <w:t>附件6               商务响应</w:t>
      </w:r>
      <w:bookmarkEnd w:id="81"/>
      <w:bookmarkEnd w:id="82"/>
      <w:r>
        <w:rPr>
          <w:rFonts w:hint="eastAsia" w:ascii="Arial" w:hAnsi="Arial" w:eastAsia="新宋体"/>
          <w:b/>
          <w:color w:val="auto"/>
          <w:sz w:val="28"/>
          <w:highlight w:val="none"/>
          <w:lang w:val="en-US" w:eastAsia="zh-CN"/>
        </w:rPr>
        <w:t>部分</w:t>
      </w:r>
      <w:bookmarkEnd w:id="83"/>
    </w:p>
    <w:p>
      <w:pPr>
        <w:widowControl/>
        <w:wordWrap w:val="0"/>
        <w:snapToGrid w:val="0"/>
        <w:spacing w:before="50" w:afterLines="50"/>
        <w:jc w:val="left"/>
        <w:rPr>
          <w:rFonts w:cs="宋体"/>
          <w:color w:val="auto"/>
          <w:kern w:val="0"/>
          <w:sz w:val="24"/>
          <w:highlight w:val="none"/>
        </w:rPr>
      </w:pPr>
    </w:p>
    <w:p>
      <w:pPr>
        <w:widowControl/>
        <w:wordWrap w:val="0"/>
        <w:spacing w:line="460" w:lineRule="exact"/>
        <w:ind w:firstLine="480" w:firstLineChars="200"/>
        <w:jc w:val="left"/>
        <w:rPr>
          <w:rFonts w:hint="default" w:ascii="宋体" w:hAnsi="宋体" w:eastAsia="宋体" w:cs="宋体"/>
          <w:b/>
          <w:color w:val="auto"/>
          <w:kern w:val="0"/>
          <w:sz w:val="32"/>
          <w:szCs w:val="32"/>
          <w:highlight w:val="none"/>
          <w:lang w:val="en-US" w:eastAsia="zh-CN"/>
        </w:rPr>
      </w:pPr>
      <w:r>
        <w:rPr>
          <w:rFonts w:hint="eastAsia" w:cs="宋体"/>
          <w:color w:val="auto"/>
          <w:kern w:val="0"/>
          <w:sz w:val="24"/>
          <w:highlight w:val="none"/>
          <w:lang w:eastAsia="zh-CN"/>
        </w:rPr>
        <w:t xml:space="preserve"> </w:t>
      </w:r>
      <w:r>
        <w:rPr>
          <w:rFonts w:hint="eastAsia" w:ascii="宋体" w:hAnsi="宋体" w:cs="宋体"/>
          <w:b/>
          <w:color w:val="auto"/>
          <w:kern w:val="0"/>
          <w:sz w:val="32"/>
          <w:szCs w:val="32"/>
          <w:highlight w:val="none"/>
          <w:lang w:val="en-US" w:eastAsia="zh-CN"/>
        </w:rPr>
        <w:t>商务部分相关证明文件</w:t>
      </w:r>
    </w:p>
    <w:p>
      <w:pPr>
        <w:widowControl/>
        <w:wordWrap w:val="0"/>
        <w:snapToGrid w:val="0"/>
        <w:spacing w:before="156" w:after="156"/>
        <w:ind w:firstLine="420"/>
        <w:jc w:val="center"/>
        <w:rPr>
          <w:rFonts w:ascii="宋体" w:hAnsi="宋体" w:cs="宋体"/>
          <w:b/>
          <w:color w:val="auto"/>
          <w:kern w:val="0"/>
          <w:sz w:val="32"/>
          <w:szCs w:val="32"/>
          <w:highlight w:val="none"/>
        </w:rPr>
      </w:pPr>
    </w:p>
    <w:p>
      <w:pPr>
        <w:widowControl/>
        <w:wordWrap w:val="0"/>
        <w:spacing w:line="460" w:lineRule="exact"/>
        <w:jc w:val="left"/>
        <w:outlineLvl w:val="9"/>
        <w:rPr>
          <w:rFonts w:cs="宋体"/>
          <w:b/>
          <w:color w:val="auto"/>
          <w:kern w:val="0"/>
          <w:sz w:val="24"/>
          <w:highlight w:val="none"/>
        </w:rPr>
      </w:pPr>
    </w:p>
    <w:p>
      <w:pPr>
        <w:widowControl/>
        <w:wordWrap w:val="0"/>
        <w:spacing w:line="460" w:lineRule="exact"/>
        <w:jc w:val="left"/>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rFonts w:cs="宋体"/>
          <w:b/>
          <w:color w:val="auto"/>
          <w:kern w:val="0"/>
          <w:sz w:val="24"/>
          <w:highlight w:val="none"/>
        </w:rPr>
      </w:pPr>
    </w:p>
    <w:p>
      <w:pPr>
        <w:outlineLvl w:val="9"/>
        <w:rPr>
          <w:color w:val="auto"/>
        </w:rPr>
      </w:pPr>
    </w:p>
    <w:p>
      <w:pPr>
        <w:outlineLvl w:val="9"/>
        <w:rPr>
          <w:rFonts w:cs="宋体"/>
          <w:b/>
          <w:color w:val="auto"/>
          <w:kern w:val="0"/>
          <w:sz w:val="24"/>
          <w:highlight w:val="none"/>
        </w:rPr>
      </w:pPr>
      <w:r>
        <w:rPr>
          <w:rFonts w:cs="宋体"/>
          <w:b/>
          <w:color w:val="auto"/>
          <w:kern w:val="0"/>
          <w:sz w:val="24"/>
          <w:highlight w:val="none"/>
        </w:rPr>
        <w:br w:type="page"/>
      </w:r>
    </w:p>
    <w:p>
      <w:pPr>
        <w:pStyle w:val="30"/>
        <w:rPr>
          <w:color w:val="auto"/>
        </w:rPr>
      </w:pPr>
    </w:p>
    <w:p>
      <w:pPr>
        <w:widowControl/>
        <w:wordWrap w:val="0"/>
        <w:spacing w:line="460" w:lineRule="exact"/>
        <w:jc w:val="left"/>
        <w:outlineLvl w:val="0"/>
        <w:rPr>
          <w:rFonts w:ascii="Arial" w:hAnsi="Arial" w:eastAsia="新宋体"/>
          <w:b/>
          <w:color w:val="auto"/>
          <w:sz w:val="28"/>
          <w:highlight w:val="none"/>
        </w:rPr>
      </w:pPr>
      <w:bookmarkStart w:id="84" w:name="_Toc31526"/>
      <w:bookmarkStart w:id="85" w:name="_Toc2169"/>
      <w:bookmarkStart w:id="86" w:name="_Toc28621"/>
      <w:r>
        <w:rPr>
          <w:rFonts w:hint="eastAsia" w:ascii="Arial" w:hAnsi="Arial" w:eastAsia="新宋体"/>
          <w:b/>
          <w:color w:val="auto"/>
          <w:sz w:val="28"/>
          <w:highlight w:val="none"/>
        </w:rPr>
        <w:t>附件7               法定代表人身份证明（格式）</w:t>
      </w:r>
      <w:bookmarkEnd w:id="84"/>
      <w:bookmarkEnd w:id="85"/>
      <w:bookmarkEnd w:id="86"/>
    </w:p>
    <w:p>
      <w:pPr>
        <w:widowControl/>
        <w:wordWrap w:val="0"/>
        <w:spacing w:line="460" w:lineRule="exact"/>
        <w:jc w:val="left"/>
        <w:rPr>
          <w:rFonts w:ascii="宋体" w:hAnsi="宋体" w:cs="宋体"/>
          <w:color w:val="auto"/>
          <w:kern w:val="0"/>
          <w:sz w:val="24"/>
          <w:highlight w:val="none"/>
        </w:rPr>
      </w:pPr>
    </w:p>
    <w:p>
      <w:pPr>
        <w:widowControl/>
        <w:wordWrap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投标人名称：</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地址：</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highlight w:val="none"/>
        </w:rPr>
        <w:t>成立时间：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年</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月</w:t>
      </w:r>
      <w:r>
        <w:rPr>
          <w:rFonts w:hint="eastAsia" w:ascii="宋体" w:hAnsi="宋体" w:cs="宋体"/>
          <w:color w:val="auto"/>
          <w:kern w:val="0"/>
          <w:sz w:val="24"/>
          <w:szCs w:val="20"/>
          <w:highlight w:val="none"/>
          <w:lang w:val="en-US" w:eastAsia="zh-CN"/>
        </w:rPr>
        <w:t xml:space="preserve">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日</w:t>
      </w:r>
    </w:p>
    <w:p>
      <w:pPr>
        <w:widowControl/>
        <w:wordWrap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szCs w:val="20"/>
          <w:highlight w:val="none"/>
        </w:rPr>
        <w:t>经营期限：</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ind w:firstLine="480" w:firstLineChars="200"/>
        <w:jc w:val="left"/>
        <w:rPr>
          <w:rFonts w:ascii="宋体" w:hAnsi="宋体" w:cs="宋体"/>
          <w:color w:val="auto"/>
          <w:kern w:val="0"/>
          <w:szCs w:val="21"/>
          <w:highlight w:val="none"/>
          <w:u w:val="single"/>
        </w:rPr>
      </w:pPr>
      <w:r>
        <w:rPr>
          <w:rFonts w:hint="eastAsia" w:ascii="宋体" w:hAnsi="宋体" w:cs="宋体"/>
          <w:color w:val="auto"/>
          <w:kern w:val="0"/>
          <w:sz w:val="24"/>
          <w:highlight w:val="none"/>
        </w:rPr>
        <w:t>姓名：</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lang w:val="en-US" w:eastAsia="zh-CN"/>
        </w:rPr>
        <w:t xml:space="preserve"> </w:t>
      </w:r>
      <w:r>
        <w:rPr>
          <w:rFonts w:hint="eastAsia" w:ascii="宋体" w:hAnsi="宋体" w:cs="宋体"/>
          <w:color w:val="auto"/>
          <w:kern w:val="0"/>
          <w:sz w:val="24"/>
          <w:szCs w:val="20"/>
          <w:highlight w:val="none"/>
        </w:rPr>
        <w:t>，性别：</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，年龄：</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，职务：</w:t>
      </w:r>
      <w:r>
        <w:rPr>
          <w:rFonts w:hint="eastAsia" w:ascii="宋体" w:hAnsi="宋体" w:cs="宋体"/>
          <w:color w:val="auto"/>
          <w:kern w:val="0"/>
          <w:szCs w:val="21"/>
          <w:highlight w:val="none"/>
          <w:u w:val="single"/>
          <w:lang w:val="en-US" w:eastAsia="zh-CN"/>
        </w:rPr>
        <w:t xml:space="preserve">        </w:t>
      </w:r>
    </w:p>
    <w:p>
      <w:pPr>
        <w:widowControl/>
        <w:wordWrap w:val="0"/>
        <w:spacing w:line="460" w:lineRule="exact"/>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szCs w:val="20"/>
          <w:highlight w:val="none"/>
        </w:rPr>
        <w:t>（投标人名称）的法定代表人。</w:t>
      </w:r>
    </w:p>
    <w:p>
      <w:pPr>
        <w:widowControl/>
        <w:wordWrap w:val="0"/>
        <w:spacing w:line="460" w:lineRule="exact"/>
        <w:jc w:val="left"/>
        <w:rPr>
          <w:rFonts w:ascii="宋体" w:hAnsi="宋体" w:cs="宋体"/>
          <w:color w:val="auto"/>
          <w:kern w:val="0"/>
          <w:sz w:val="24"/>
          <w:szCs w:val="20"/>
          <w:highlight w:val="none"/>
        </w:rPr>
      </w:pPr>
    </w:p>
    <w:p>
      <w:pPr>
        <w:widowControl/>
        <w:wordWrap w:val="0"/>
        <w:spacing w:line="460" w:lineRule="exact"/>
        <w:ind w:firstLine="480" w:firstLineChars="200"/>
        <w:jc w:val="left"/>
        <w:rPr>
          <w:rFonts w:ascii="宋体" w:hAnsi="宋体" w:cs="宋体"/>
          <w:color w:val="auto"/>
          <w:kern w:val="0"/>
          <w:sz w:val="24"/>
          <w:szCs w:val="20"/>
          <w:highlight w:val="none"/>
        </w:rPr>
      </w:pPr>
      <w:r>
        <w:rPr>
          <w:rFonts w:hint="eastAsia" w:ascii="宋体" w:hAnsi="宋体" w:cs="宋体"/>
          <w:color w:val="auto"/>
          <w:kern w:val="0"/>
          <w:sz w:val="24"/>
          <w:szCs w:val="20"/>
          <w:highlight w:val="none"/>
        </w:rPr>
        <w:t>特此证明。</w:t>
      </w:r>
    </w:p>
    <w:p>
      <w:pPr>
        <w:widowControl/>
        <w:wordWrap w:val="0"/>
        <w:spacing w:line="460" w:lineRule="exact"/>
        <w:jc w:val="left"/>
        <w:rPr>
          <w:rFonts w:ascii="宋体" w:hAnsi="宋体" w:cs="宋体"/>
          <w:color w:val="auto"/>
          <w:kern w:val="0"/>
          <w:sz w:val="24"/>
          <w:szCs w:val="20"/>
          <w:highlight w:val="none"/>
        </w:rPr>
      </w:pPr>
    </w:p>
    <w:p>
      <w:pPr>
        <w:widowControl/>
        <w:wordWrap w:val="0"/>
        <w:spacing w:beforeLines="100" w:afterLines="100" w:line="480" w:lineRule="exact"/>
        <w:jc w:val="center"/>
        <w:rPr>
          <w:rFonts w:ascii="宋体" w:hAnsi="宋体" w:cs="Lucida Sans Unicode"/>
          <w:b/>
          <w:color w:val="auto"/>
          <w:kern w:val="0"/>
          <w:sz w:val="36"/>
          <w:szCs w:val="36"/>
          <w:highlight w:val="none"/>
        </w:rPr>
      </w:pPr>
    </w:p>
    <w:tbl>
      <w:tblPr>
        <w:tblStyle w:val="32"/>
        <w:tblpPr w:leftFromText="180" w:rightFromText="180" w:topFromText="100" w:bottomFromText="100" w:vertAnchor="text" w:horzAnchor="page" w:tblpX="2773" w:tblpY="20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0" w:hRule="atLeast"/>
        </w:trPr>
        <w:tc>
          <w:tcPr>
            <w:tcW w:w="532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bCs/>
                <w:color w:val="auto"/>
                <w:kern w:val="0"/>
                <w:sz w:val="24"/>
                <w:highlight w:val="none"/>
              </w:rPr>
            </w:pPr>
            <w:r>
              <w:rPr>
                <w:rFonts w:hint="eastAsia" w:ascii="宋体" w:hAnsi="宋体" w:cs="Lucida Sans Unicode"/>
                <w:bCs/>
                <w:color w:val="auto"/>
                <w:kern w:val="0"/>
                <w:sz w:val="24"/>
                <w:highlight w:val="none"/>
              </w:rPr>
              <w:t>此处请粘贴法定代表人身份证复印件</w:t>
            </w:r>
          </w:p>
          <w:p>
            <w:pPr>
              <w:widowControl/>
              <w:spacing w:line="480" w:lineRule="exact"/>
              <w:jc w:val="left"/>
              <w:rPr>
                <w:rFonts w:ascii="仿宋_GB2312" w:hAnsi="Lucida Sans Unicode" w:eastAsia="仿宋_GB2312" w:cs="Lucida Sans Unicode"/>
                <w:color w:val="auto"/>
                <w:kern w:val="0"/>
                <w:sz w:val="24"/>
                <w:highlight w:val="none"/>
              </w:rPr>
            </w:pPr>
          </w:p>
          <w:p>
            <w:pPr>
              <w:widowControl/>
              <w:spacing w:line="480" w:lineRule="exact"/>
              <w:jc w:val="left"/>
              <w:rPr>
                <w:rFonts w:ascii="仿宋_GB2312" w:hAnsi="Lucida Sans Unicode" w:eastAsia="仿宋_GB2312" w:cs="Lucida Sans Unicode"/>
                <w:color w:val="auto"/>
                <w:kern w:val="0"/>
                <w:sz w:val="24"/>
                <w:highlight w:val="none"/>
              </w:rPr>
            </w:pPr>
          </w:p>
        </w:tc>
      </w:tr>
    </w:tbl>
    <w:p>
      <w:pPr>
        <w:widowControl/>
        <w:wordWrap w:val="0"/>
        <w:spacing w:beforeLines="100" w:afterLines="100" w:line="480" w:lineRule="exact"/>
        <w:jc w:val="center"/>
        <w:rPr>
          <w:rFonts w:ascii="宋体" w:hAnsi="宋体" w:cs="Lucida Sans Unicode"/>
          <w:b/>
          <w:color w:val="auto"/>
          <w:kern w:val="0"/>
          <w:sz w:val="24"/>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beforeLines="100" w:afterLines="100" w:line="480" w:lineRule="exact"/>
        <w:jc w:val="center"/>
        <w:rPr>
          <w:rFonts w:ascii="Lucida Sans Unicode" w:hAnsi="Lucida Sans Unicode" w:cs="Lucida Sans Unicode"/>
          <w:b/>
          <w:color w:val="auto"/>
          <w:kern w:val="0"/>
          <w:sz w:val="36"/>
          <w:szCs w:val="36"/>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pacing w:line="480" w:lineRule="exact"/>
        <w:jc w:val="right"/>
        <w:rPr>
          <w:rFonts w:ascii="仿宋_GB2312" w:hAnsi="仿宋_GB2312" w:eastAsia="仿宋_GB2312" w:cs="Lucida Sans Unicode"/>
          <w:color w:val="auto"/>
          <w:kern w:val="0"/>
          <w:sz w:val="24"/>
          <w:highlight w:val="none"/>
        </w:rPr>
      </w:pPr>
    </w:p>
    <w:p>
      <w:pPr>
        <w:widowControl/>
        <w:wordWrap w:val="0"/>
        <w:snapToGrid w:val="0"/>
        <w:spacing w:line="460" w:lineRule="exact"/>
        <w:ind w:firstLine="2760" w:firstLineChars="1150"/>
        <w:jc w:val="left"/>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left="3780" w:leftChars="1800"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年    月    日</w:t>
      </w:r>
    </w:p>
    <w:p>
      <w:pPr>
        <w:rPr>
          <w:color w:val="auto"/>
          <w:highlight w:val="none"/>
        </w:rPr>
      </w:pPr>
    </w:p>
    <w:p>
      <w:pPr>
        <w:rPr>
          <w:color w:val="auto"/>
          <w:highlight w:val="none"/>
        </w:rPr>
      </w:pPr>
      <w:r>
        <w:rPr>
          <w:color w:val="auto"/>
          <w:highlight w:val="none"/>
        </w:rPr>
        <w:br w:type="page"/>
      </w:r>
    </w:p>
    <w:p>
      <w:pPr>
        <w:pStyle w:val="52"/>
        <w:rPr>
          <w:color w:val="auto"/>
          <w:highlight w:val="none"/>
        </w:rPr>
      </w:pPr>
    </w:p>
    <w:p>
      <w:pPr>
        <w:widowControl/>
        <w:wordWrap w:val="0"/>
        <w:spacing w:line="460" w:lineRule="exact"/>
        <w:ind w:firstLine="365" w:firstLineChars="130"/>
        <w:jc w:val="left"/>
        <w:outlineLvl w:val="0"/>
        <w:rPr>
          <w:rFonts w:ascii="Arial" w:hAnsi="Arial" w:eastAsia="新宋体"/>
          <w:b/>
          <w:color w:val="auto"/>
          <w:sz w:val="28"/>
          <w:highlight w:val="none"/>
        </w:rPr>
      </w:pPr>
      <w:bookmarkStart w:id="87" w:name="_Toc13976"/>
      <w:bookmarkStart w:id="88" w:name="_Toc30519"/>
      <w:bookmarkStart w:id="89" w:name="_Toc16979"/>
      <w:r>
        <w:rPr>
          <w:rFonts w:hint="eastAsia" w:ascii="Arial" w:hAnsi="Arial" w:eastAsia="新宋体"/>
          <w:b/>
          <w:color w:val="auto"/>
          <w:sz w:val="28"/>
          <w:highlight w:val="none"/>
        </w:rPr>
        <w:t>附件8               法定代表人授权书（格式）</w:t>
      </w:r>
      <w:bookmarkEnd w:id="87"/>
      <w:bookmarkEnd w:id="88"/>
      <w:bookmarkEnd w:id="89"/>
    </w:p>
    <w:p>
      <w:pPr>
        <w:widowControl/>
        <w:tabs>
          <w:tab w:val="left" w:pos="420"/>
          <w:tab w:val="left" w:pos="2160"/>
        </w:tabs>
        <w:wordWrap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jc w:val="left"/>
        <w:rPr>
          <w:rFonts w:ascii="宋体" w:hAnsi="宋体" w:cs="宋体"/>
          <w:b/>
          <w:bCs/>
          <w:color w:val="auto"/>
          <w:kern w:val="0"/>
          <w:sz w:val="24"/>
          <w:highlight w:val="none"/>
        </w:rPr>
      </w:pPr>
      <w:r>
        <w:rPr>
          <w:rFonts w:hint="eastAsia" w:ascii="宋体" w:hAnsi="宋体" w:cs="宋体"/>
          <w:bCs/>
          <w:color w:val="auto"/>
          <w:kern w:val="0"/>
          <w:sz w:val="24"/>
          <w:highlight w:val="none"/>
        </w:rPr>
        <w:t>致：</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w:t>
      </w:r>
      <w:r>
        <w:rPr>
          <w:rFonts w:hint="eastAsia" w:ascii="宋体" w:hAnsi="宋体" w:cs="宋体"/>
          <w:color w:val="auto"/>
          <w:kern w:val="0"/>
          <w:sz w:val="24"/>
          <w:highlight w:val="none"/>
          <w:lang w:eastAsia="zh-CN"/>
        </w:rPr>
        <w:t>采购人</w:t>
      </w:r>
      <w:r>
        <w:rPr>
          <w:rFonts w:hint="eastAsia" w:ascii="宋体" w:hAnsi="宋体" w:cs="宋体"/>
          <w:color w:val="auto"/>
          <w:kern w:val="0"/>
          <w:sz w:val="24"/>
          <w:highlight w:val="none"/>
        </w:rPr>
        <w:t>名称）：</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（姓名）系</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 xml:space="preserve">（投标人名称）的法定代表人，现委托 </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（姓名）为我方代理人。代理人根据本授权，以我方的名义参加</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项目的投标活动，并代表我方全权办理针对上述项目的投标、开标、评标、签约等具体事务和签署相关文件。</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我方对代理人的签名负全部责任。在撤销授权的书面通知以前，本授权书一直有效。代理人在授权书有效期内签署的所有文件不因授权的撤销而失效。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如果本次采购活动现场变更采购方式，本授权书有效。</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代理人无转委托权。</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委托期限：</w:t>
      </w:r>
    </w:p>
    <w:p>
      <w:pPr>
        <w:widowControl/>
        <w:wordWrap w:val="0"/>
        <w:snapToGrid w:val="0"/>
        <w:spacing w:line="460" w:lineRule="exact"/>
        <w:ind w:firstLine="480" w:firstLineChars="200"/>
        <w:jc w:val="left"/>
        <w:rPr>
          <w:rFonts w:ascii="宋体" w:hAnsi="宋体" w:cs="宋体"/>
          <w:color w:val="auto"/>
          <w:kern w:val="0"/>
          <w:sz w:val="24"/>
          <w:highlight w:val="none"/>
        </w:rPr>
      </w:pPr>
    </w:p>
    <w:p>
      <w:pPr>
        <w:widowControl/>
        <w:wordWrap w:val="0"/>
        <w:snapToGrid w:val="0"/>
        <w:spacing w:line="460" w:lineRule="exact"/>
        <w:ind w:firstLine="480" w:firstLineChars="200"/>
        <w:jc w:val="left"/>
        <w:rPr>
          <w:rFonts w:ascii="宋体" w:hAnsi="宋体" w:cs="宋体"/>
          <w:color w:val="auto"/>
          <w:kern w:val="0"/>
          <w:sz w:val="24"/>
          <w:highlight w:val="none"/>
          <w:u w:val="single"/>
        </w:rPr>
      </w:pPr>
      <w:r>
        <w:rPr>
          <w:rFonts w:hint="eastAsia" w:ascii="宋体" w:hAnsi="宋体" w:cs="宋体"/>
          <w:color w:val="auto"/>
          <w:kern w:val="0"/>
          <w:sz w:val="24"/>
          <w:highlight w:val="none"/>
        </w:rPr>
        <w:t>委托代理人签名：             法定代表人签名：</w:t>
      </w:r>
    </w:p>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职务：                      职务：</w:t>
      </w:r>
    </w:p>
    <w:tbl>
      <w:tblPr>
        <w:tblStyle w:val="32"/>
        <w:tblpPr w:leftFromText="180" w:rightFromText="180" w:topFromText="100" w:bottomFromText="100" w:vertAnchor="text" w:horzAnchor="page" w:tblpX="2551" w:tblpY="9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2" w:hRule="atLeast"/>
        </w:trPr>
        <w:tc>
          <w:tcPr>
            <w:tcW w:w="5508" w:type="dxa"/>
            <w:tcBorders>
              <w:top w:val="single" w:color="auto" w:sz="4" w:space="0"/>
              <w:left w:val="single" w:color="auto" w:sz="4" w:space="0"/>
              <w:bottom w:val="single" w:color="auto" w:sz="4" w:space="0"/>
              <w:right w:val="single" w:color="auto" w:sz="4" w:space="0"/>
            </w:tcBorders>
          </w:tcPr>
          <w:p>
            <w:pPr>
              <w:widowControl/>
              <w:spacing w:line="480" w:lineRule="exact"/>
              <w:jc w:val="left"/>
              <w:rPr>
                <w:rFonts w:ascii="宋体" w:hAnsi="宋体" w:cs="Lucida Sans Unicode"/>
                <w:color w:val="auto"/>
                <w:kern w:val="0"/>
                <w:sz w:val="24"/>
                <w:highlight w:val="none"/>
              </w:rPr>
            </w:pPr>
            <w:r>
              <w:rPr>
                <w:rFonts w:hint="eastAsia" w:ascii="宋体" w:hAnsi="宋体" w:cs="Lucida Sans Unicode"/>
                <w:bCs/>
                <w:color w:val="auto"/>
                <w:kern w:val="0"/>
                <w:sz w:val="24"/>
                <w:highlight w:val="none"/>
              </w:rPr>
              <w:t>此处请粘贴</w:t>
            </w:r>
            <w:r>
              <w:rPr>
                <w:rFonts w:hint="eastAsia" w:ascii="宋体" w:hAnsi="宋体" w:cs="宋体"/>
                <w:color w:val="auto"/>
                <w:kern w:val="0"/>
                <w:sz w:val="24"/>
                <w:highlight w:val="none"/>
              </w:rPr>
              <w:t>委托代理人</w:t>
            </w:r>
            <w:r>
              <w:rPr>
                <w:rFonts w:hint="eastAsia" w:ascii="宋体" w:hAnsi="宋体" w:cs="Lucida Sans Unicode"/>
                <w:bCs/>
                <w:color w:val="auto"/>
                <w:kern w:val="0"/>
                <w:sz w:val="24"/>
                <w:highlight w:val="none"/>
              </w:rPr>
              <w:t>身份证复印件</w:t>
            </w:r>
          </w:p>
        </w:tc>
      </w:tr>
    </w:tbl>
    <w:p>
      <w:pPr>
        <w:widowControl/>
        <w:wordWrap w:val="0"/>
        <w:snapToGrid w:val="0"/>
        <w:spacing w:line="460" w:lineRule="exact"/>
        <w:ind w:firstLine="480" w:firstLineChars="200"/>
        <w:jc w:val="left"/>
        <w:rPr>
          <w:rFonts w:ascii="宋体" w:hAnsi="宋体" w:cs="宋体"/>
          <w:color w:val="auto"/>
          <w:kern w:val="0"/>
          <w:sz w:val="24"/>
          <w:highlight w:val="none"/>
        </w:rPr>
      </w:pPr>
      <w:r>
        <w:rPr>
          <w:rFonts w:hint="eastAsia" w:ascii="宋体" w:hAnsi="宋体" w:cs="宋体"/>
          <w:color w:val="auto"/>
          <w:kern w:val="0"/>
          <w:sz w:val="24"/>
          <w:highlight w:val="none"/>
        </w:rPr>
        <w:t>委托代理人身份证号码：</w:t>
      </w:r>
    </w:p>
    <w:p>
      <w:pPr>
        <w:widowControl/>
        <w:wordWrap w:val="0"/>
        <w:spacing w:line="460" w:lineRule="exact"/>
        <w:ind w:firstLine="4800" w:firstLineChars="2000"/>
        <w:jc w:val="left"/>
        <w:rPr>
          <w:rFonts w:ascii="仿宋_GB2312" w:hAnsi="Lucida Sans Unicode" w:eastAsia="仿宋_GB2312" w:cs="Lucida Sans Unicode"/>
          <w:color w:val="auto"/>
          <w:kern w:val="0"/>
          <w:sz w:val="24"/>
          <w:highlight w:val="none"/>
        </w:rPr>
      </w:pPr>
    </w:p>
    <w:p>
      <w:pPr>
        <w:widowControl/>
        <w:wordWrap w:val="0"/>
        <w:spacing w:line="360" w:lineRule="auto"/>
        <w:jc w:val="center"/>
        <w:rPr>
          <w:rFonts w:ascii="仿宋_GB2312" w:hAnsi="Lucida Sans Unicode" w:eastAsia="仿宋_GB2312" w:cs="Lucida Sans Unicode"/>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val="0"/>
        <w:spacing w:line="360" w:lineRule="auto"/>
        <w:jc w:val="right"/>
        <w:rPr>
          <w:rFonts w:hint="eastAsia" w:ascii="宋体" w:hAnsi="宋体" w:cs="宋体"/>
          <w:color w:val="auto"/>
          <w:kern w:val="0"/>
          <w:sz w:val="24"/>
          <w:highlight w:val="none"/>
        </w:rPr>
      </w:pPr>
    </w:p>
    <w:p>
      <w:pPr>
        <w:widowControl/>
        <w:wordWrap/>
        <w:spacing w:line="360" w:lineRule="auto"/>
        <w:jc w:val="center"/>
        <w:rPr>
          <w:rFonts w:ascii="宋体" w:hAnsi="宋体" w:cs="宋体"/>
          <w:color w:val="auto"/>
          <w:kern w:val="0"/>
          <w:sz w:val="24"/>
          <w:highlight w:val="none"/>
        </w:rPr>
      </w:pPr>
      <w:r>
        <w:rPr>
          <w:rFonts w:hint="eastAsia" w:ascii="宋体" w:hAnsi="宋体" w:cs="宋体"/>
          <w:color w:val="auto"/>
          <w:kern w:val="0"/>
          <w:sz w:val="24"/>
          <w:highlight w:val="none"/>
        </w:rPr>
        <w:t>投标人：</w:t>
      </w:r>
      <w:r>
        <w:rPr>
          <w:rFonts w:hint="eastAsia" w:ascii="宋体" w:hAnsi="宋体" w:cs="宋体"/>
          <w:color w:val="auto"/>
          <w:kern w:val="0"/>
          <w:szCs w:val="21"/>
          <w:highlight w:val="none"/>
          <w:u w:val="single"/>
          <w:lang w:val="en-US" w:eastAsia="zh-CN"/>
        </w:rPr>
        <w:t xml:space="preserve">                </w:t>
      </w:r>
      <w:r>
        <w:rPr>
          <w:rFonts w:hint="eastAsia" w:ascii="宋体" w:hAnsi="宋体" w:cs="宋体"/>
          <w:color w:val="auto"/>
          <w:kern w:val="0"/>
          <w:sz w:val="24"/>
          <w:highlight w:val="none"/>
        </w:rPr>
        <w:t>（全称并加盖公章）</w:t>
      </w:r>
    </w:p>
    <w:p>
      <w:pPr>
        <w:widowControl/>
        <w:wordWrap w:val="0"/>
        <w:spacing w:line="460" w:lineRule="exact"/>
        <w:ind w:firstLine="3840" w:firstLineChars="1600"/>
        <w:jc w:val="left"/>
        <w:rPr>
          <w:rFonts w:ascii="宋体" w:hAnsi="宋体" w:cs="宋体"/>
          <w:b/>
          <w:color w:val="auto"/>
          <w:kern w:val="0"/>
          <w:sz w:val="32"/>
          <w:szCs w:val="32"/>
          <w:highlight w:val="none"/>
        </w:rPr>
      </w:pPr>
      <w:r>
        <w:rPr>
          <w:rFonts w:hint="eastAsia" w:ascii="宋体" w:hAnsi="宋体" w:cs="宋体"/>
          <w:color w:val="auto"/>
          <w:kern w:val="0"/>
          <w:sz w:val="24"/>
          <w:highlight w:val="none"/>
        </w:rPr>
        <w:t>年    月    日</w:t>
      </w:r>
    </w:p>
    <w:p>
      <w:pPr>
        <w:widowControl/>
        <w:spacing w:line="360" w:lineRule="auto"/>
        <w:ind w:firstLine="7228" w:firstLineChars="2250"/>
        <w:jc w:val="left"/>
        <w:rPr>
          <w:rFonts w:ascii="宋体" w:hAnsi="宋体" w:cs="宋体"/>
          <w:b/>
          <w:color w:val="auto"/>
          <w:kern w:val="0"/>
          <w:sz w:val="32"/>
          <w:szCs w:val="32"/>
          <w:highlight w:val="none"/>
        </w:rPr>
      </w:pPr>
    </w:p>
    <w:p>
      <w:pPr>
        <w:rPr>
          <w:rFonts w:ascii="宋体" w:hAnsi="宋体" w:cs="宋体"/>
          <w:b/>
          <w:color w:val="auto"/>
          <w:kern w:val="0"/>
          <w:sz w:val="32"/>
          <w:szCs w:val="32"/>
          <w:highlight w:val="none"/>
        </w:rPr>
      </w:pPr>
      <w:r>
        <w:rPr>
          <w:rFonts w:ascii="宋体" w:hAnsi="宋体" w:cs="宋体"/>
          <w:b/>
          <w:color w:val="auto"/>
          <w:kern w:val="0"/>
          <w:sz w:val="32"/>
          <w:szCs w:val="32"/>
          <w:highlight w:val="none"/>
        </w:rPr>
        <w:br w:type="page"/>
      </w:r>
    </w:p>
    <w:p>
      <w:pPr>
        <w:widowControl/>
        <w:snapToGrid w:val="0"/>
        <w:spacing w:before="156" w:after="156" w:line="360" w:lineRule="auto"/>
        <w:jc w:val="left"/>
        <w:rPr>
          <w:rFonts w:ascii="宋体" w:hAnsi="宋体" w:cs="宋体"/>
          <w:b/>
          <w:color w:val="auto"/>
          <w:kern w:val="0"/>
          <w:sz w:val="24"/>
          <w:highlight w:val="none"/>
        </w:rPr>
      </w:pPr>
    </w:p>
    <w:p>
      <w:pPr>
        <w:widowControl/>
        <w:snapToGrid w:val="0"/>
        <w:spacing w:before="156" w:after="156" w:line="360" w:lineRule="auto"/>
        <w:jc w:val="left"/>
        <w:outlineLvl w:val="0"/>
        <w:rPr>
          <w:rFonts w:ascii="宋体" w:hAnsi="宋体" w:cs="宋体"/>
          <w:b/>
          <w:color w:val="auto"/>
          <w:kern w:val="0"/>
          <w:sz w:val="24"/>
          <w:highlight w:val="none"/>
        </w:rPr>
      </w:pPr>
      <w:bookmarkStart w:id="90" w:name="_Toc18819"/>
      <w:bookmarkStart w:id="91" w:name="_Toc18105"/>
      <w:bookmarkStart w:id="92" w:name="_Toc24693"/>
      <w:r>
        <w:rPr>
          <w:rFonts w:hint="eastAsia" w:ascii="Arial" w:hAnsi="Arial" w:eastAsia="新宋体"/>
          <w:b/>
          <w:color w:val="auto"/>
          <w:sz w:val="28"/>
          <w:highlight w:val="none"/>
        </w:rPr>
        <w:t>附件9               证明文件</w:t>
      </w:r>
      <w:bookmarkEnd w:id="90"/>
      <w:bookmarkEnd w:id="91"/>
      <w:bookmarkEnd w:id="92"/>
    </w:p>
    <w:p>
      <w:pPr>
        <w:pStyle w:val="8"/>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9.1</w:t>
      </w:r>
      <w:r>
        <w:rPr>
          <w:rFonts w:hint="eastAsia"/>
          <w:bCs/>
          <w:color w:val="auto"/>
          <w:sz w:val="21"/>
          <w:szCs w:val="21"/>
          <w:highlight w:val="none"/>
          <w:lang w:val="en-US" w:eastAsia="zh-CN"/>
        </w:rPr>
        <w:t xml:space="preserve"> </w:t>
      </w:r>
      <w:r>
        <w:rPr>
          <w:rFonts w:hint="eastAsia"/>
          <w:bCs/>
          <w:color w:val="auto"/>
          <w:sz w:val="21"/>
          <w:szCs w:val="21"/>
          <w:highlight w:val="none"/>
        </w:rPr>
        <w:t>资格审查资料</w:t>
      </w:r>
    </w:p>
    <w:p>
      <w:pPr>
        <w:pStyle w:val="8"/>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9.2</w:t>
      </w:r>
      <w:r>
        <w:rPr>
          <w:rFonts w:hint="eastAsia"/>
          <w:bCs/>
          <w:color w:val="auto"/>
          <w:sz w:val="21"/>
          <w:szCs w:val="21"/>
          <w:highlight w:val="none"/>
          <w:lang w:val="en-US" w:eastAsia="zh-CN"/>
        </w:rPr>
        <w:t xml:space="preserve"> </w:t>
      </w:r>
      <w:r>
        <w:rPr>
          <w:rFonts w:hint="eastAsia"/>
          <w:bCs/>
          <w:color w:val="auto"/>
          <w:sz w:val="21"/>
          <w:szCs w:val="21"/>
          <w:highlight w:val="none"/>
        </w:rPr>
        <w:t>技术方案</w:t>
      </w:r>
    </w:p>
    <w:p>
      <w:pPr>
        <w:pStyle w:val="8"/>
        <w:spacing w:beforeAutospacing="0" w:afterAutospacing="0" w:line="480" w:lineRule="auto"/>
        <w:ind w:firstLine="470" w:firstLineChars="224"/>
        <w:jc w:val="both"/>
        <w:rPr>
          <w:rFonts w:hint="eastAsia"/>
          <w:bCs/>
          <w:color w:val="auto"/>
          <w:sz w:val="21"/>
          <w:szCs w:val="21"/>
          <w:highlight w:val="none"/>
        </w:rPr>
      </w:pPr>
      <w:r>
        <w:rPr>
          <w:rFonts w:hint="eastAsia"/>
          <w:bCs/>
          <w:color w:val="auto"/>
          <w:sz w:val="21"/>
          <w:szCs w:val="21"/>
          <w:highlight w:val="none"/>
        </w:rPr>
        <w:t>9.3</w:t>
      </w:r>
      <w:r>
        <w:rPr>
          <w:rFonts w:hint="eastAsia"/>
          <w:bCs/>
          <w:color w:val="auto"/>
          <w:sz w:val="21"/>
          <w:szCs w:val="21"/>
          <w:highlight w:val="none"/>
          <w:lang w:val="en-US" w:eastAsia="zh-CN"/>
        </w:rPr>
        <w:t xml:space="preserve"> </w:t>
      </w:r>
      <w:r>
        <w:rPr>
          <w:rFonts w:hint="eastAsia"/>
          <w:bCs/>
          <w:color w:val="auto"/>
          <w:sz w:val="21"/>
          <w:szCs w:val="21"/>
          <w:highlight w:val="none"/>
        </w:rPr>
        <w:t>其他需要提供的证明材料</w:t>
      </w:r>
      <w:bookmarkStart w:id="93" w:name="_Toc17966"/>
    </w:p>
    <w:p>
      <w:pPr>
        <w:pStyle w:val="8"/>
        <w:spacing w:beforeAutospacing="0" w:afterAutospacing="0" w:line="480" w:lineRule="auto"/>
        <w:ind w:firstLine="470" w:firstLineChars="224"/>
        <w:jc w:val="both"/>
        <w:rPr>
          <w:bCs/>
          <w:color w:val="auto"/>
          <w:sz w:val="21"/>
          <w:szCs w:val="21"/>
          <w:highlight w:val="none"/>
        </w:rPr>
      </w:pPr>
      <w:r>
        <w:rPr>
          <w:rFonts w:hint="eastAsia"/>
          <w:bCs/>
          <w:color w:val="auto"/>
          <w:sz w:val="21"/>
          <w:szCs w:val="21"/>
          <w:highlight w:val="none"/>
        </w:rPr>
        <w:t>9.</w:t>
      </w:r>
      <w:r>
        <w:rPr>
          <w:rFonts w:hint="eastAsia"/>
          <w:bCs/>
          <w:color w:val="auto"/>
          <w:sz w:val="21"/>
          <w:szCs w:val="21"/>
          <w:highlight w:val="none"/>
          <w:lang w:val="en-US" w:eastAsia="zh-CN"/>
        </w:rPr>
        <w:t xml:space="preserve">4 </w:t>
      </w:r>
      <w:r>
        <w:rPr>
          <w:rFonts w:hint="eastAsia"/>
          <w:bCs/>
          <w:color w:val="auto"/>
          <w:sz w:val="21"/>
          <w:szCs w:val="21"/>
          <w:highlight w:val="none"/>
        </w:rPr>
        <w:t>其他证明材料。</w:t>
      </w:r>
    </w:p>
    <w:p>
      <w:pPr>
        <w:pStyle w:val="8"/>
        <w:spacing w:beforeAutospacing="0" w:afterAutospacing="0" w:line="480" w:lineRule="auto"/>
        <w:ind w:firstLine="540" w:firstLineChars="224"/>
        <w:jc w:val="both"/>
        <w:rPr>
          <w:b/>
          <w:bCs/>
          <w:color w:val="auto"/>
          <w:highlight w:val="none"/>
        </w:rPr>
      </w:pPr>
    </w:p>
    <w:p>
      <w:pPr>
        <w:rPr>
          <w:b/>
          <w:bCs/>
          <w:color w:val="auto"/>
          <w:highlight w:val="none"/>
        </w:rPr>
      </w:pPr>
      <w:r>
        <w:rPr>
          <w:b/>
          <w:bCs/>
          <w:color w:val="auto"/>
          <w:highlight w:val="none"/>
        </w:rPr>
        <w:br w:type="page"/>
      </w:r>
    </w:p>
    <w:p>
      <w:pPr>
        <w:pStyle w:val="8"/>
        <w:spacing w:beforeAutospacing="0" w:afterAutospacing="0" w:line="480" w:lineRule="auto"/>
        <w:ind w:firstLine="540" w:firstLineChars="224"/>
        <w:jc w:val="both"/>
        <w:rPr>
          <w:b/>
          <w:bCs/>
          <w:color w:val="auto"/>
          <w:highlight w:val="none"/>
        </w:rPr>
      </w:pPr>
    </w:p>
    <w:p>
      <w:pPr>
        <w:widowControl/>
        <w:snapToGrid w:val="0"/>
        <w:spacing w:line="360" w:lineRule="auto"/>
        <w:jc w:val="center"/>
        <w:outlineLvl w:val="0"/>
        <w:rPr>
          <w:rFonts w:ascii="宋体" w:hAnsi="宋体" w:cs="宋体"/>
          <w:b/>
          <w:color w:val="auto"/>
          <w:kern w:val="0"/>
          <w:sz w:val="28"/>
          <w:szCs w:val="28"/>
          <w:highlight w:val="none"/>
        </w:rPr>
      </w:pPr>
      <w:bookmarkStart w:id="94" w:name="_Toc13726"/>
      <w:bookmarkStart w:id="95" w:name="_Toc11559"/>
      <w:bookmarkStart w:id="96" w:name="_Toc12888"/>
      <w:r>
        <w:rPr>
          <w:rFonts w:hint="eastAsia" w:ascii="宋体" w:hAnsi="宋体" w:cs="Lucida Sans Unicode"/>
          <w:b/>
          <w:color w:val="auto"/>
          <w:kern w:val="0"/>
          <w:sz w:val="28"/>
          <w:szCs w:val="28"/>
          <w:highlight w:val="none"/>
        </w:rPr>
        <w:t xml:space="preserve">附件10        </w:t>
      </w:r>
      <w:bookmarkEnd w:id="93"/>
      <w:r>
        <w:rPr>
          <w:rFonts w:hint="eastAsia" w:ascii="宋体" w:hAnsi="宋体" w:cs="Lucida Sans Unicode"/>
          <w:b/>
          <w:color w:val="auto"/>
          <w:kern w:val="0"/>
          <w:sz w:val="28"/>
          <w:szCs w:val="28"/>
          <w:highlight w:val="none"/>
        </w:rPr>
        <w:t>供 应 商 承 诺 书</w:t>
      </w:r>
      <w:r>
        <w:rPr>
          <w:rFonts w:hint="eastAsia" w:ascii="宋体" w:hAnsi="宋体" w:cs="Lucida Sans Unicode"/>
          <w:b/>
          <w:color w:val="auto"/>
          <w:kern w:val="0"/>
          <w:sz w:val="28"/>
          <w:szCs w:val="28"/>
          <w:highlight w:val="none"/>
          <w:lang w:val="en-US" w:eastAsia="zh-CN"/>
        </w:rPr>
        <w:t xml:space="preserve"> </w:t>
      </w:r>
      <w:r>
        <w:rPr>
          <w:rFonts w:hint="eastAsia" w:ascii="宋体" w:hAnsi="宋体" w:cs="宋体"/>
          <w:color w:val="auto"/>
          <w:kern w:val="0"/>
          <w:sz w:val="28"/>
          <w:szCs w:val="28"/>
          <w:highlight w:val="none"/>
        </w:rPr>
        <w:t>（格式）</w:t>
      </w:r>
      <w:bookmarkEnd w:id="94"/>
      <w:bookmarkEnd w:id="95"/>
      <w:bookmarkEnd w:id="96"/>
    </w:p>
    <w:p>
      <w:pPr>
        <w:bidi w:val="0"/>
        <w:rPr>
          <w:color w:val="auto"/>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我院（以下简称甲方）组织的本次采购，在遵守《招标投标法》、《政府采购法》、《合同法》、《反不正当竞争法》和《关于推进招投标监督领域诚信建设的意见》等法律法规的基础上，要求贵方（以下简称乙方）做出如下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1、遵循公开、公平、公正和诚实信用的原则自愿参加，所提供的一切材料真实、有效、合法。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2、遵守甲方采购纪律，诚实守信地为甲方提供安全可靠的产品、服务及相关技术，保证质量并主动做好售后服务工作。</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3、杜绝利用提供财物或给予其他不正当利益谋取中标的不良行为。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4、不发生其他任何可能影响甲方工作人员公正执行公务或者职务廉洁的行为。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5、不参与串标、围标或其他不正当竞争行为；杜绝以虚报资质、业绩或其他弄虚作假等方式骗取中标。</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6、响应时，杜绝擅自修改采购文件或技术标准（包括差异表）技术配置的行为。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7、严格按照采购、投标文件要求签订合同，不违反法律无故拒签合同，不签订背离合同（或技术协议书）实质性内容的协议。</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rPr>
      </w:pPr>
    </w:p>
    <w:p>
      <w:pPr>
        <w:keepNext w:val="0"/>
        <w:keepLines w:val="0"/>
        <w:pageBreakBefore w:val="0"/>
        <w:widowControl w:val="0"/>
        <w:kinsoku/>
        <w:wordWrap/>
        <w:overflowPunct/>
        <w:topLinePunct w:val="0"/>
        <w:autoSpaceDE/>
        <w:autoSpaceDN/>
        <w:bidi w:val="0"/>
        <w:adjustRightInd/>
        <w:snapToGrid w:val="0"/>
        <w:spacing w:line="480" w:lineRule="auto"/>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投标人（</w:t>
      </w:r>
      <w:r>
        <w:rPr>
          <w:rFonts w:hint="eastAsia" w:ascii="宋体" w:hAnsi="宋体" w:eastAsia="宋体" w:cs="宋体"/>
          <w:color w:val="auto"/>
          <w:sz w:val="24"/>
          <w:szCs w:val="24"/>
          <w:lang w:val="en-US" w:eastAsia="zh-CN"/>
        </w:rPr>
        <w:t>公司名称</w:t>
      </w:r>
      <w:r>
        <w:rPr>
          <w:rFonts w:hint="eastAsia" w:ascii="宋体" w:hAnsi="宋体" w:eastAsia="宋体" w:cs="宋体"/>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val="0"/>
        <w:spacing w:line="480" w:lineRule="auto"/>
        <w:textAlignment w:val="auto"/>
        <w:rPr>
          <w:color w:val="auto"/>
          <w:sz w:val="28"/>
          <w:szCs w:val="28"/>
        </w:rPr>
      </w:pPr>
      <w:r>
        <w:rPr>
          <w:rFonts w:hint="eastAsia" w:ascii="宋体" w:hAnsi="宋体" w:eastAsia="宋体" w:cs="宋体"/>
          <w:color w:val="auto"/>
          <w:sz w:val="24"/>
          <w:szCs w:val="24"/>
        </w:rPr>
        <w:t>法定代表人或委托人（签字）：                   年   月   日</w:t>
      </w:r>
    </w:p>
    <w:p>
      <w:pPr>
        <w:widowControl/>
        <w:spacing w:line="360" w:lineRule="auto"/>
        <w:ind w:firstLine="4305" w:firstLineChars="2050"/>
        <w:jc w:val="left"/>
        <w:rPr>
          <w:rFonts w:ascii="宋体" w:hAnsi="宋体" w:cs="宋体"/>
          <w:color w:val="auto"/>
          <w:kern w:val="0"/>
          <w:szCs w:val="21"/>
          <w:highlight w:val="none"/>
        </w:rPr>
      </w:pPr>
    </w:p>
    <w:p>
      <w:pPr>
        <w:spacing w:line="360" w:lineRule="auto"/>
        <w:rPr>
          <w:color w:val="auto"/>
          <w:highlight w:val="none"/>
        </w:rPr>
      </w:pPr>
    </w:p>
    <w:p>
      <w:pPr>
        <w:rPr>
          <w:color w:val="auto"/>
          <w:highlight w:val="none"/>
        </w:rPr>
      </w:pPr>
      <w:r>
        <w:rPr>
          <w:color w:val="auto"/>
          <w:highlight w:val="none"/>
        </w:rPr>
        <w:br w:type="page"/>
      </w:r>
    </w:p>
    <w:p>
      <w:pPr>
        <w:jc w:val="center"/>
        <w:rPr>
          <w:rFonts w:hint="eastAsia" w:ascii="宋体" w:hAnsi="宋体" w:eastAsia="宋体" w:cs="宋体"/>
          <w:b/>
          <w:bCs/>
          <w:color w:val="auto"/>
          <w:kern w:val="2"/>
          <w:sz w:val="28"/>
          <w:szCs w:val="18"/>
          <w:highlight w:val="none"/>
          <w:lang w:val="en-US" w:eastAsia="zh-CN" w:bidi="ar-SA"/>
        </w:rPr>
      </w:pPr>
      <w:r>
        <w:rPr>
          <w:rFonts w:hint="eastAsia" w:ascii="宋体" w:hAnsi="宋体" w:eastAsia="宋体" w:cs="宋体"/>
          <w:b/>
          <w:bCs/>
          <w:color w:val="auto"/>
          <w:kern w:val="2"/>
          <w:sz w:val="28"/>
          <w:szCs w:val="18"/>
          <w:highlight w:val="none"/>
          <w:lang w:val="en-US" w:eastAsia="zh-CN" w:bidi="ar-SA"/>
        </w:rPr>
        <w:t>附件11     供应商信用承诺函（格式）</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致（采购人或政府采购代理机构）：</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单位名称（自然人姓名）：</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统一社会信用代码（身份证号码）：</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法定代表人（负责人）：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联系地址和电话：</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（一）具有独立承担民事责任的能力；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（二）具有良好的商业信誉和健全的财务会计制度；</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（三）具有履行合同所必需的设备和专业技术能力；</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仿宋" w:hAnsi="仿宋" w:eastAsia="仿宋" w:cs="仿宋"/>
          <w:sz w:val="32"/>
          <w:szCs w:val="32"/>
        </w:rPr>
      </w:pPr>
      <w:r>
        <w:rPr>
          <w:rFonts w:hint="eastAsia" w:ascii="宋体" w:hAnsi="宋体" w:eastAsia="宋体" w:cs="宋体"/>
          <w:color w:val="auto"/>
          <w:sz w:val="24"/>
          <w:szCs w:val="24"/>
          <w:lang w:val="en-US" w:eastAsia="zh-CN"/>
        </w:rPr>
        <w:t>（四）有依法缴纳税收和社会保障资金的良好</w:t>
      </w:r>
      <w:r>
        <w:rPr>
          <w:rFonts w:hint="eastAsia" w:ascii="仿宋" w:hAnsi="仿宋" w:eastAsia="仿宋" w:cs="仿宋"/>
          <w:sz w:val="32"/>
          <w:szCs w:val="32"/>
          <w:lang w:val="en-US" w:eastAsia="zh-CN"/>
        </w:rPr>
        <w:t>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（五）参加政府采购活动前三年内，在经营活动中没有重大违法记录；</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（六）未被列入严重失信主体名单、失信被执行人、税收违法黑名单、政府采购严重违法失信行为记录名单，未曾作出虚假承诺；</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（七）符合法律、行政法规规定的其他条件。</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我单位（本人）保证上述承诺事项的真实性，如有弄虚作假或其他违法违规行为，愿意承担一切法律责任，并承担因此所造成的一切损失。</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供应商名称（盖章）：</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法定代表人、负责人、自然人或授权代表(签字)：</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日期：       年         月          日</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注：1.供应商须在投标（响应性）文件中按此模板提供承诺函，未提供视为未实质性响应招标文件要求，按无效投标（响应）处理。</w:t>
      </w:r>
    </w:p>
    <w:p>
      <w:pPr>
        <w:keepNext w:val="0"/>
        <w:keepLines w:val="0"/>
        <w:pageBreakBefore w:val="0"/>
        <w:widowControl w:val="0"/>
        <w:kinsoku/>
        <w:wordWrap/>
        <w:overflowPunct/>
        <w:topLinePunct w:val="0"/>
        <w:autoSpaceDE/>
        <w:autoSpaceDN/>
        <w:bidi w:val="0"/>
        <w:adjustRightInd/>
        <w:snapToGrid w:val="0"/>
        <w:spacing w:line="480" w:lineRule="auto"/>
        <w:ind w:firstLine="640"/>
        <w:textAlignment w:val="auto"/>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2.供应商的法定代表人或者授权代表的签字或盖章应真实、有效，如由授权代表签字或盖章的，应提供“法定代表人授权书”。</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p>
    <w:p>
      <w:pPr>
        <w:widowControl/>
        <w:shd w:val="clear" w:color="auto" w:fill="auto"/>
        <w:ind w:firstLine="360" w:firstLineChars="150"/>
        <w:jc w:val="left"/>
        <w:rPr>
          <w:rFonts w:hint="eastAsia" w:ascii="宋体" w:hAnsi="宋体" w:eastAsia="宋体" w:cs="宋体"/>
          <w:sz w:val="24"/>
          <w:szCs w:val="24"/>
        </w:rPr>
      </w:pPr>
    </w:p>
    <w:p>
      <w:pPr>
        <w:pStyle w:val="30"/>
        <w:rPr>
          <w:rFonts w:hint="eastAsia" w:ascii="宋体" w:hAnsi="宋体" w:eastAsia="宋体" w:cs="宋体"/>
          <w:sz w:val="24"/>
          <w:szCs w:val="24"/>
        </w:rPr>
      </w:pPr>
    </w:p>
    <w:p>
      <w:pPr>
        <w:pStyle w:val="31"/>
        <w:rPr>
          <w:rFonts w:hint="eastAsia" w:ascii="宋体" w:hAnsi="宋体" w:eastAsia="宋体" w:cs="宋体"/>
          <w:sz w:val="24"/>
          <w:szCs w:val="24"/>
        </w:rPr>
      </w:pPr>
    </w:p>
    <w:p>
      <w:pPr>
        <w:rPr>
          <w:rFonts w:hint="eastAsia" w:ascii="宋体" w:hAnsi="宋体" w:eastAsia="宋体" w:cs="宋体"/>
          <w:sz w:val="24"/>
          <w:szCs w:val="24"/>
        </w:rPr>
      </w:pPr>
    </w:p>
    <w:p>
      <w:pPr>
        <w:pStyle w:val="30"/>
        <w:rPr>
          <w:rFonts w:hint="eastAsia" w:ascii="宋体" w:hAnsi="宋体" w:eastAsia="宋体" w:cs="宋体"/>
          <w:sz w:val="24"/>
          <w:szCs w:val="24"/>
        </w:rPr>
      </w:pPr>
    </w:p>
    <w:p>
      <w:pPr>
        <w:pStyle w:val="31"/>
        <w:rPr>
          <w:rFonts w:hint="eastAsia" w:ascii="宋体" w:hAnsi="宋体" w:eastAsia="宋体" w:cs="宋体"/>
          <w:sz w:val="24"/>
          <w:szCs w:val="24"/>
        </w:rPr>
      </w:pPr>
    </w:p>
    <w:p>
      <w:pPr>
        <w:rPr>
          <w:rFonts w:hint="eastAsia" w:ascii="宋体" w:hAnsi="宋体" w:eastAsia="宋体" w:cs="宋体"/>
          <w:sz w:val="24"/>
          <w:szCs w:val="24"/>
        </w:rPr>
      </w:pPr>
    </w:p>
    <w:p>
      <w:pPr>
        <w:pStyle w:val="30"/>
        <w:rPr>
          <w:rFonts w:hint="eastAsia" w:ascii="宋体" w:hAnsi="宋体" w:eastAsia="宋体" w:cs="宋体"/>
          <w:sz w:val="24"/>
          <w:szCs w:val="24"/>
        </w:rPr>
      </w:pPr>
    </w:p>
    <w:p>
      <w:pPr>
        <w:pStyle w:val="31"/>
        <w:rPr>
          <w:rFonts w:hint="eastAsia" w:ascii="宋体" w:hAnsi="宋体" w:eastAsia="宋体" w:cs="宋体"/>
          <w:sz w:val="24"/>
          <w:szCs w:val="24"/>
        </w:rPr>
      </w:pPr>
    </w:p>
    <w:p>
      <w:pPr>
        <w:rPr>
          <w:rFonts w:hint="eastAsia" w:ascii="宋体" w:hAnsi="宋体" w:eastAsia="宋体" w:cs="宋体"/>
          <w:sz w:val="24"/>
          <w:szCs w:val="24"/>
        </w:rPr>
      </w:pPr>
    </w:p>
    <w:p>
      <w:pPr>
        <w:pStyle w:val="30"/>
        <w:rPr>
          <w:rFonts w:hint="eastAsia" w:ascii="宋体" w:hAnsi="宋体" w:eastAsia="宋体" w:cs="宋体"/>
          <w:sz w:val="24"/>
          <w:szCs w:val="24"/>
        </w:rPr>
      </w:pPr>
    </w:p>
    <w:p>
      <w:pPr>
        <w:pStyle w:val="31"/>
        <w:rPr>
          <w:rFonts w:hint="eastAsia" w:ascii="宋体" w:hAnsi="宋体" w:eastAsia="宋体" w:cs="宋体"/>
          <w:sz w:val="24"/>
          <w:szCs w:val="24"/>
        </w:rPr>
      </w:pPr>
    </w:p>
    <w:p>
      <w:pPr>
        <w:rPr>
          <w:rFonts w:hint="eastAsia" w:ascii="宋体" w:hAnsi="宋体" w:eastAsia="宋体" w:cs="宋体"/>
          <w:sz w:val="24"/>
          <w:szCs w:val="24"/>
        </w:rPr>
      </w:pPr>
    </w:p>
    <w:p>
      <w:pPr>
        <w:pStyle w:val="30"/>
        <w:rPr>
          <w:rFonts w:hint="eastAsia"/>
        </w:rPr>
      </w:pPr>
    </w:p>
    <w:p>
      <w:pPr>
        <w:pStyle w:val="50"/>
        <w:rPr>
          <w:color w:val="auto"/>
        </w:rPr>
      </w:pPr>
    </w:p>
    <w:p>
      <w:pPr>
        <w:widowControl/>
        <w:snapToGrid w:val="0"/>
        <w:spacing w:line="360" w:lineRule="auto"/>
        <w:jc w:val="center"/>
        <w:outlineLvl w:val="0"/>
        <w:rPr>
          <w:rFonts w:ascii="宋体" w:hAnsi="宋体" w:cs="Lucida Sans Unicode"/>
          <w:b/>
          <w:color w:val="auto"/>
          <w:kern w:val="0"/>
          <w:sz w:val="24"/>
          <w:highlight w:val="none"/>
        </w:rPr>
      </w:pPr>
      <w:bookmarkStart w:id="97" w:name="_Toc25094"/>
      <w:bookmarkStart w:id="98" w:name="_Toc23394"/>
      <w:bookmarkStart w:id="99" w:name="_Toc4178"/>
      <w:r>
        <w:rPr>
          <w:rFonts w:hint="eastAsia" w:ascii="宋体" w:hAnsi="宋体" w:cs="Lucida Sans Unicode"/>
          <w:b/>
          <w:color w:val="auto"/>
          <w:kern w:val="0"/>
          <w:sz w:val="24"/>
          <w:highlight w:val="none"/>
        </w:rPr>
        <w:t>投标人认为有必要的其他资料</w:t>
      </w:r>
      <w:bookmarkEnd w:id="97"/>
      <w:bookmarkEnd w:id="98"/>
      <w:bookmarkEnd w:id="99"/>
    </w:p>
    <w:p>
      <w:pPr>
        <w:widowControl/>
        <w:spacing w:line="360" w:lineRule="auto"/>
        <w:ind w:firstLine="420" w:firstLineChars="200"/>
        <w:jc w:val="left"/>
        <w:rPr>
          <w:rFonts w:ascii="宋体" w:hAnsi="宋体" w:cs="Lucida Sans Unicode"/>
          <w:color w:val="auto"/>
          <w:kern w:val="0"/>
          <w:sz w:val="24"/>
          <w:highlight w:val="none"/>
        </w:rPr>
      </w:pPr>
      <w:r>
        <w:rPr>
          <w:rFonts w:hint="eastAsia" w:ascii="宋体" w:hAnsi="宋体" w:cs="Lucida Sans Unicode"/>
          <w:color w:val="auto"/>
          <w:kern w:val="0"/>
          <w:szCs w:val="21"/>
          <w:highlight w:val="none"/>
        </w:rPr>
        <w:t>备注：投标人应当仔细核对</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文件中有关废标条款和评标标准，提供投标人认为应当附加的其它内容，以充分证明其投标符合</w:t>
      </w:r>
      <w:r>
        <w:rPr>
          <w:rFonts w:hint="eastAsia" w:ascii="宋体" w:hAnsi="宋体" w:cs="Lucida Sans Unicode"/>
          <w:color w:val="auto"/>
          <w:kern w:val="0"/>
          <w:szCs w:val="21"/>
          <w:highlight w:val="none"/>
          <w:lang w:val="en-US" w:eastAsia="zh-CN"/>
        </w:rPr>
        <w:t>采购</w:t>
      </w:r>
      <w:r>
        <w:rPr>
          <w:rFonts w:hint="eastAsia" w:ascii="宋体" w:hAnsi="宋体" w:cs="Lucida Sans Unicode"/>
          <w:color w:val="auto"/>
          <w:kern w:val="0"/>
          <w:szCs w:val="21"/>
          <w:highlight w:val="none"/>
        </w:rPr>
        <w:t>文件规定，并为评标提供充分依据。如果投标人未能提供相关证明文件，将有可能导致废标或者无法得分。</w:t>
      </w: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center"/>
        <w:rPr>
          <w:b/>
          <w:bCs/>
          <w:color w:val="auto"/>
          <w:sz w:val="28"/>
          <w:szCs w:val="28"/>
          <w:highlight w:val="none"/>
        </w:rPr>
      </w:pPr>
    </w:p>
    <w:p>
      <w:pPr>
        <w:pStyle w:val="8"/>
        <w:spacing w:beforeAutospacing="0" w:afterAutospacing="0" w:line="460" w:lineRule="atLeast"/>
        <w:jc w:val="both"/>
        <w:rPr>
          <w:b/>
          <w:bCs/>
          <w:color w:val="auto"/>
          <w:sz w:val="28"/>
          <w:szCs w:val="28"/>
          <w:highlight w:val="none"/>
        </w:rPr>
      </w:pPr>
    </w:p>
    <w:sectPr>
      <w:headerReference r:id="rId5" w:type="default"/>
      <w:footerReference r:id="rId6" w:type="default"/>
      <w:pgSz w:w="11906" w:h="16838"/>
      <w:pgMar w:top="1417" w:right="1474" w:bottom="1417" w:left="1474" w:header="851" w:footer="624" w:gutter="0"/>
      <w:pgNumType w:fmt="decimal"/>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onospace">
    <w:altName w:val="微软雅黑"/>
    <w:panose1 w:val="00000000000000000000"/>
    <w:charset w:val="00"/>
    <w:family w:val="auto"/>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Lucida Sans Unicode">
    <w:panose1 w:val="020B0602030504020204"/>
    <w:charset w:val="00"/>
    <w:family w:val="swiss"/>
    <w:pitch w:val="default"/>
    <w:sig w:usb0="80001AFF" w:usb1="0000396B" w:usb2="00000000" w:usb3="00000000" w:csb0="200000BF" w:csb1="D7F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top w:val="single" w:color="auto" w:sz="4" w:space="1"/>
      </w:pBdr>
      <w:jc w:val="both"/>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文本框 1025" o:spid="_x0000_s1026" o:spt="202" type="#_x0000_t202" style="position:absolute;left:0pt;margin-top:1.15pt;height:144pt;width:144pt;mso-position-horizontal:center;mso-position-horizontal-relative:margin;mso-wrap-style:none;z-index:251660288;mso-width-relative:page;mso-height-relative:page;" filled="f" stroked="f" coordsize="21600,21600" o:gfxdata="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nDNi/TAAAABgEAAA8AAAAAAAAAAQAgAAAAIgAA&#10;AGRycy9kb3ducmV2LnhtbFBLAQIUABQAAAAIAIdO4kCHIGb51AEAAKUDAAAOAAAAAAAAAAEAIAAA&#10;ACIBAABkcnMvZTJvRG9jLnhtbFBLBQYAAAAABgAGAFkBAABoBQAAAAA=&#10;">
              <v:fill on="f" focussize="0,0"/>
              <v:stroke on="f" weight="0.5pt"/>
              <v:imagedata o:title=""/>
              <o:lock v:ext="edit" aspectratio="f"/>
              <v:textbox inset="0mm,0mm,0mm,0mm" style="mso-fit-shape-to-text:t;">
                <w:txbxContent>
                  <w:p>
                    <w:pPr>
                      <w:pStyle w:val="20"/>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pBdr>
        <w:top w:val="single" w:color="auto" w:sz="4" w:space="1"/>
      </w:pBdr>
      <w:jc w:val="both"/>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pPr>
                            <w:pStyle w:val="20"/>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wps:txbx>
                    <wps:bodyPr lIns="0" tIns="0" rIns="0" bIns="0" upright="1"/>
                  </wps:wsp>
                </a:graphicData>
              </a:graphic>
            </wp:anchor>
          </w:drawing>
        </mc:Choice>
        <mc:Fallback>
          <w:pict>
            <v:shape id="文本框 1026" o:spid="_x0000_s1026" o:spt="202" type="#_x0000_t202" style="position:absolute;left:0pt;margin-top:1.15pt;height:16.1pt;width:11.4pt;mso-position-horizontal:center;mso-position-horizontal-relative:margin;z-index:251659264;mso-width-relative:page;mso-height-relative:page;" filled="f" stroked="f" coordsize="21600,21600" o:gfxdata="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l9mmrNQAAAAEAQAADwAAAAAAAAABACAAAAAiAAAAZHJzL2Rvd25yZXYueG1sUEsBAhQAFAAA&#10;AAgAh07iQFFZh6C6AQAAdAMAAA4AAAAAAAAAAQAgAAAAIwEAAGRycy9lMm9Eb2MueG1sUEsFBgAA&#10;AAAGAAYAWQEAAE8FAAAAAA==&#10;">
              <v:fill on="f" focussize="0,0"/>
              <v:stroke on="f"/>
              <v:imagedata o:title=""/>
              <o:lock v:ext="edit" aspectratio="f"/>
              <v:textbox inset="0mm,0mm,0mm,0mm">
                <w:txbxContent>
                  <w:p>
                    <w:pPr>
                      <w:pStyle w:val="20"/>
                      <w:rPr>
                        <w:rFonts w:ascii="宋体" w:hAnsi="宋体" w:cs="宋体"/>
                      </w:rPr>
                    </w:pPr>
                    <w:r>
                      <w:rPr>
                        <w:rFonts w:hint="eastAsia" w:ascii="宋体" w:hAnsi="宋体" w:cs="宋体"/>
                      </w:rPr>
                      <w:fldChar w:fldCharType="begin"/>
                    </w:r>
                    <w:r>
                      <w:rPr>
                        <w:rFonts w:hint="eastAsia" w:ascii="宋体" w:hAnsi="宋体" w:cs="宋体"/>
                      </w:rPr>
                      <w:instrText xml:space="preserve"> PAGE  \* MERGEFORMAT </w:instrText>
                    </w:r>
                    <w:r>
                      <w:rPr>
                        <w:rFonts w:hint="eastAsia" w:ascii="宋体" w:hAnsi="宋体" w:cs="宋体"/>
                      </w:rPr>
                      <w:fldChar w:fldCharType="separate"/>
                    </w:r>
                    <w:r>
                      <w:rPr>
                        <w:rFonts w:ascii="宋体" w:hAnsi="宋体" w:cs="宋体"/>
                      </w:rPr>
                      <w:t>18</w:t>
                    </w:r>
                    <w:r>
                      <w:rPr>
                        <w:rFonts w:hint="eastAsia" w:ascii="宋体" w:hAnsi="宋体" w:cs="宋体"/>
                      </w:rPr>
                      <w:fldChar w:fldCharType="end"/>
                    </w:r>
                  </w:p>
                </w:txbxContent>
              </v:textbox>
            </v:shape>
          </w:pict>
        </mc:Fallback>
      </mc:AlternateContent>
    </w:r>
    <w:r>
      <w:rPr>
        <w:rFonts w:hint="eastAsia"/>
      </w:rPr>
      <w:t xml:space="preserve">        </w:t>
    </w:r>
  </w:p>
  <w:p>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right"/>
    </w:pPr>
    <w:r>
      <w:rPr>
        <w:rFonts w:hint="eastAsia" w:ascii="宋体" w:hAnsi="宋体" w:cs="宋体"/>
        <w:color w:val="auto"/>
        <w:szCs w:val="21"/>
        <w:highlight w:val="none"/>
        <w:lang w:eastAsia="zh-CN"/>
      </w:rPr>
      <w:t>驻马店市中心医院医用输血输液加温器采购项目</w:t>
    </w:r>
    <w:r>
      <w:rPr>
        <w:rFonts w:hint="eastAsia" w:ascii="宋体" w:hAnsi="宋体" w:eastAsia="宋体" w:cs="宋体"/>
        <w:color w:val="auto"/>
        <w:lang w:val="en-US" w:eastAsia="zh-CN"/>
      </w:rPr>
      <w:t>采</w:t>
    </w:r>
    <w:r>
      <w:rPr>
        <w:rFonts w:hint="eastAsia" w:ascii="宋体" w:hAnsi="宋体" w:cs="宋体"/>
        <w:color w:val="auto"/>
        <w:szCs w:val="21"/>
        <w:highlight w:val="none"/>
        <w:u w:val="none"/>
        <w:shd w:val="clear" w:color="auto" w:fill="FFFFFF"/>
        <w:lang w:val="en-US" w:eastAsia="zh-CN"/>
      </w:rPr>
      <w:t>购</w:t>
    </w:r>
    <w:r>
      <w:rPr>
        <w:rFonts w:hint="eastAsia"/>
      </w:rPr>
      <w:t>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right"/>
      <w:rPr>
        <w:rFonts w:hint="eastAsia" w:eastAsia="宋体"/>
        <w:lang w:val="en-US" w:eastAsia="zh-CN"/>
      </w:rPr>
    </w:pPr>
    <w:r>
      <w:rPr>
        <w:rFonts w:hint="eastAsia"/>
      </w:rPr>
      <w:t xml:space="preserve">                         </w:t>
    </w:r>
    <w:r>
      <w:rPr>
        <w:rFonts w:hint="eastAsia" w:ascii="宋体" w:hAnsi="宋体" w:cs="宋体"/>
        <w:color w:val="auto"/>
        <w:szCs w:val="21"/>
        <w:highlight w:val="none"/>
        <w:lang w:eastAsia="zh-CN"/>
      </w:rPr>
      <w:t>驻马店市中心医院医用输血输液加温器采购项目</w:t>
    </w:r>
    <w:r>
      <w:rPr>
        <w:rFonts w:hint="eastAsia" w:ascii="宋体" w:hAnsi="宋体" w:eastAsia="宋体" w:cs="宋体"/>
        <w:color w:val="auto"/>
        <w:lang w:val="en-US" w:eastAsia="zh-CN"/>
      </w:rPr>
      <w:t>采</w:t>
    </w:r>
    <w:r>
      <w:rPr>
        <w:rFonts w:hint="eastAsia" w:ascii="宋体" w:hAnsi="宋体" w:cs="宋体"/>
        <w:color w:val="auto"/>
        <w:szCs w:val="21"/>
        <w:highlight w:val="none"/>
        <w:u w:val="none"/>
        <w:shd w:val="clear" w:color="auto" w:fill="FFFFFF"/>
        <w:lang w:val="en-US" w:eastAsia="zh-CN"/>
      </w:rPr>
      <w:t>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C3247B"/>
    <w:multiLevelType w:val="singleLevel"/>
    <w:tmpl w:val="93C3247B"/>
    <w:lvl w:ilvl="0" w:tentative="0">
      <w:start w:val="2"/>
      <w:numFmt w:val="decimal"/>
      <w:suff w:val="space"/>
      <w:lvlText w:val="%1."/>
      <w:lvlJc w:val="left"/>
    </w:lvl>
  </w:abstractNum>
  <w:abstractNum w:abstractNumId="1">
    <w:nsid w:val="E8A954FB"/>
    <w:multiLevelType w:val="singleLevel"/>
    <w:tmpl w:val="E8A954FB"/>
    <w:lvl w:ilvl="0" w:tentative="0">
      <w:start w:val="1"/>
      <w:numFmt w:val="decimal"/>
      <w:suff w:val="nothing"/>
      <w:lvlText w:val="%1、"/>
      <w:lvlJc w:val="left"/>
    </w:lvl>
  </w:abstractNum>
  <w:abstractNum w:abstractNumId="2">
    <w:nsid w:val="59B6410A"/>
    <w:multiLevelType w:val="singleLevel"/>
    <w:tmpl w:val="59B6410A"/>
    <w:lvl w:ilvl="0" w:tentative="0">
      <w:start w:val="1"/>
      <w:numFmt w:val="decimal"/>
      <w:suff w:val="nothing"/>
      <w:lvlText w:val="（%1）"/>
      <w:lvlJc w:val="left"/>
    </w:lvl>
  </w:abstractNum>
  <w:abstractNum w:abstractNumId="3">
    <w:nsid w:val="6B443D07"/>
    <w:multiLevelType w:val="singleLevel"/>
    <w:tmpl w:val="6B443D07"/>
    <w:lvl w:ilvl="0" w:tentative="0">
      <w:start w:val="4"/>
      <w:numFmt w:val="chineseCounting"/>
      <w:suff w:val="nothing"/>
      <w:lvlText w:val="%1、"/>
      <w:lvlJc w:val="left"/>
      <w:rPr>
        <w:rFonts w:hint="eastAsia"/>
      </w:r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319"/>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wMjRmYTY4OTJhZjc1NTA1MGQwNDc0NzZhNTkwMm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200E"/>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F1B"/>
    <w:rsid w:val="00FC530A"/>
    <w:rsid w:val="00FC6C54"/>
    <w:rsid w:val="00FD0800"/>
    <w:rsid w:val="00FD364A"/>
    <w:rsid w:val="00FD5205"/>
    <w:rsid w:val="00FD5661"/>
    <w:rsid w:val="00FD58CB"/>
    <w:rsid w:val="00FE2A9D"/>
    <w:rsid w:val="00FE673C"/>
    <w:rsid w:val="00FF1AC1"/>
    <w:rsid w:val="00FF2866"/>
    <w:rsid w:val="00FF3BCD"/>
    <w:rsid w:val="00FF5B28"/>
    <w:rsid w:val="00FF7C18"/>
    <w:rsid w:val="01076050"/>
    <w:rsid w:val="010C3DC8"/>
    <w:rsid w:val="01525212"/>
    <w:rsid w:val="01564054"/>
    <w:rsid w:val="017E6D95"/>
    <w:rsid w:val="01CC1143"/>
    <w:rsid w:val="01D715BE"/>
    <w:rsid w:val="01EB45BC"/>
    <w:rsid w:val="01FA63A5"/>
    <w:rsid w:val="02011C7D"/>
    <w:rsid w:val="02035523"/>
    <w:rsid w:val="021C6E40"/>
    <w:rsid w:val="02222FF2"/>
    <w:rsid w:val="02384FF4"/>
    <w:rsid w:val="023F67A9"/>
    <w:rsid w:val="025235B1"/>
    <w:rsid w:val="0262674D"/>
    <w:rsid w:val="02747B01"/>
    <w:rsid w:val="02890D36"/>
    <w:rsid w:val="02D92EF7"/>
    <w:rsid w:val="02DA4665"/>
    <w:rsid w:val="02F40325"/>
    <w:rsid w:val="031126C4"/>
    <w:rsid w:val="036A009A"/>
    <w:rsid w:val="03844805"/>
    <w:rsid w:val="03845791"/>
    <w:rsid w:val="03A011E9"/>
    <w:rsid w:val="03AE7F27"/>
    <w:rsid w:val="03BD2BCD"/>
    <w:rsid w:val="04070D64"/>
    <w:rsid w:val="04416C20"/>
    <w:rsid w:val="047968B1"/>
    <w:rsid w:val="0481606D"/>
    <w:rsid w:val="04870542"/>
    <w:rsid w:val="04B9160E"/>
    <w:rsid w:val="05157BA2"/>
    <w:rsid w:val="053F1F5A"/>
    <w:rsid w:val="05545DD3"/>
    <w:rsid w:val="056E2AD6"/>
    <w:rsid w:val="05806815"/>
    <w:rsid w:val="058251D3"/>
    <w:rsid w:val="05945CCE"/>
    <w:rsid w:val="059D05A4"/>
    <w:rsid w:val="059D5E17"/>
    <w:rsid w:val="05AB0A28"/>
    <w:rsid w:val="05AB0F81"/>
    <w:rsid w:val="05B93D6B"/>
    <w:rsid w:val="05D53002"/>
    <w:rsid w:val="05D75738"/>
    <w:rsid w:val="05DB25FB"/>
    <w:rsid w:val="061E7D14"/>
    <w:rsid w:val="0646323F"/>
    <w:rsid w:val="06560AED"/>
    <w:rsid w:val="066469C9"/>
    <w:rsid w:val="066646A1"/>
    <w:rsid w:val="06983B20"/>
    <w:rsid w:val="069A3B66"/>
    <w:rsid w:val="06B91765"/>
    <w:rsid w:val="06CA2AD2"/>
    <w:rsid w:val="06CE3071"/>
    <w:rsid w:val="06D33DBA"/>
    <w:rsid w:val="06E13F9F"/>
    <w:rsid w:val="06FB0AC5"/>
    <w:rsid w:val="070D2D5D"/>
    <w:rsid w:val="07111B8D"/>
    <w:rsid w:val="074A5B92"/>
    <w:rsid w:val="075E3193"/>
    <w:rsid w:val="078E18EB"/>
    <w:rsid w:val="07B10EA5"/>
    <w:rsid w:val="07CE3FA1"/>
    <w:rsid w:val="07EC2ECB"/>
    <w:rsid w:val="07FE66CB"/>
    <w:rsid w:val="080B4D47"/>
    <w:rsid w:val="08321601"/>
    <w:rsid w:val="083D5C91"/>
    <w:rsid w:val="0847191F"/>
    <w:rsid w:val="08591DC3"/>
    <w:rsid w:val="087C4541"/>
    <w:rsid w:val="087E5595"/>
    <w:rsid w:val="08C52D6F"/>
    <w:rsid w:val="08D01612"/>
    <w:rsid w:val="08EF0201"/>
    <w:rsid w:val="08F41DE8"/>
    <w:rsid w:val="09737462"/>
    <w:rsid w:val="099156C3"/>
    <w:rsid w:val="09A53F39"/>
    <w:rsid w:val="09A60E13"/>
    <w:rsid w:val="09D206F0"/>
    <w:rsid w:val="0A321AC2"/>
    <w:rsid w:val="0A343D4E"/>
    <w:rsid w:val="0A3E6D2E"/>
    <w:rsid w:val="0A6C3DC0"/>
    <w:rsid w:val="0AD13A85"/>
    <w:rsid w:val="0AE033D9"/>
    <w:rsid w:val="0B091954"/>
    <w:rsid w:val="0B167AE8"/>
    <w:rsid w:val="0B1A1257"/>
    <w:rsid w:val="0B637D77"/>
    <w:rsid w:val="0BAC324F"/>
    <w:rsid w:val="0BF72F1E"/>
    <w:rsid w:val="0C3957A5"/>
    <w:rsid w:val="0C626DA7"/>
    <w:rsid w:val="0C6876AE"/>
    <w:rsid w:val="0C720EC8"/>
    <w:rsid w:val="0C942042"/>
    <w:rsid w:val="0C9D50DC"/>
    <w:rsid w:val="0CA5271D"/>
    <w:rsid w:val="0CAC4D10"/>
    <w:rsid w:val="0CC72121"/>
    <w:rsid w:val="0CEE5A21"/>
    <w:rsid w:val="0D0646E7"/>
    <w:rsid w:val="0D0C38CA"/>
    <w:rsid w:val="0D1771C4"/>
    <w:rsid w:val="0D3F3A0E"/>
    <w:rsid w:val="0DB53B00"/>
    <w:rsid w:val="0DC577E0"/>
    <w:rsid w:val="0DDC6319"/>
    <w:rsid w:val="0E0C0D4C"/>
    <w:rsid w:val="0E115DA1"/>
    <w:rsid w:val="0E162D6D"/>
    <w:rsid w:val="0E541CA2"/>
    <w:rsid w:val="0E594756"/>
    <w:rsid w:val="0E95596D"/>
    <w:rsid w:val="0EAE6205"/>
    <w:rsid w:val="0EAE6579"/>
    <w:rsid w:val="0EAF71BF"/>
    <w:rsid w:val="0ECE6257"/>
    <w:rsid w:val="0EE4129D"/>
    <w:rsid w:val="0F171032"/>
    <w:rsid w:val="0F335E69"/>
    <w:rsid w:val="0F3D59C9"/>
    <w:rsid w:val="0F516D5A"/>
    <w:rsid w:val="0F565B36"/>
    <w:rsid w:val="0F821E7D"/>
    <w:rsid w:val="0FE7592C"/>
    <w:rsid w:val="0FFD20F0"/>
    <w:rsid w:val="103E6E57"/>
    <w:rsid w:val="1041497B"/>
    <w:rsid w:val="10425FF6"/>
    <w:rsid w:val="109010E6"/>
    <w:rsid w:val="10B271F4"/>
    <w:rsid w:val="10C8275C"/>
    <w:rsid w:val="10E03539"/>
    <w:rsid w:val="10E82D1F"/>
    <w:rsid w:val="10EE5C94"/>
    <w:rsid w:val="113329E7"/>
    <w:rsid w:val="113F294C"/>
    <w:rsid w:val="11437C85"/>
    <w:rsid w:val="1166372C"/>
    <w:rsid w:val="11700D10"/>
    <w:rsid w:val="1178125A"/>
    <w:rsid w:val="1196056D"/>
    <w:rsid w:val="11D34654"/>
    <w:rsid w:val="11DE0FD1"/>
    <w:rsid w:val="12010480"/>
    <w:rsid w:val="120E707F"/>
    <w:rsid w:val="127A7D1C"/>
    <w:rsid w:val="12836D8B"/>
    <w:rsid w:val="12AB0349"/>
    <w:rsid w:val="12CD57F1"/>
    <w:rsid w:val="12CE7AFA"/>
    <w:rsid w:val="12D67466"/>
    <w:rsid w:val="12D8538D"/>
    <w:rsid w:val="12E549BD"/>
    <w:rsid w:val="13272A5D"/>
    <w:rsid w:val="13493108"/>
    <w:rsid w:val="13733928"/>
    <w:rsid w:val="139C16C9"/>
    <w:rsid w:val="13B63CE1"/>
    <w:rsid w:val="13BC6684"/>
    <w:rsid w:val="13C72B3A"/>
    <w:rsid w:val="13DF575E"/>
    <w:rsid w:val="13EE3A98"/>
    <w:rsid w:val="142123F7"/>
    <w:rsid w:val="142A11D8"/>
    <w:rsid w:val="144B544C"/>
    <w:rsid w:val="145B7B45"/>
    <w:rsid w:val="14717443"/>
    <w:rsid w:val="148D52E3"/>
    <w:rsid w:val="14992B90"/>
    <w:rsid w:val="14AF1856"/>
    <w:rsid w:val="14AF19A3"/>
    <w:rsid w:val="14B53957"/>
    <w:rsid w:val="14C53ECE"/>
    <w:rsid w:val="14E002E6"/>
    <w:rsid w:val="14ED3D4F"/>
    <w:rsid w:val="14FC36BD"/>
    <w:rsid w:val="151E3A0F"/>
    <w:rsid w:val="1557566D"/>
    <w:rsid w:val="15811F1B"/>
    <w:rsid w:val="15A30135"/>
    <w:rsid w:val="15A34015"/>
    <w:rsid w:val="15E2236F"/>
    <w:rsid w:val="161D09ED"/>
    <w:rsid w:val="162323A3"/>
    <w:rsid w:val="162F30B1"/>
    <w:rsid w:val="16510F12"/>
    <w:rsid w:val="166448F9"/>
    <w:rsid w:val="16647475"/>
    <w:rsid w:val="1677211D"/>
    <w:rsid w:val="167954F9"/>
    <w:rsid w:val="16A060BA"/>
    <w:rsid w:val="16A57EAF"/>
    <w:rsid w:val="16AC6E3F"/>
    <w:rsid w:val="16C872D5"/>
    <w:rsid w:val="16D54FA3"/>
    <w:rsid w:val="16D84D9F"/>
    <w:rsid w:val="16E94D3E"/>
    <w:rsid w:val="170D06E0"/>
    <w:rsid w:val="171A2E9A"/>
    <w:rsid w:val="17332185"/>
    <w:rsid w:val="17475951"/>
    <w:rsid w:val="179F2E61"/>
    <w:rsid w:val="17C227C0"/>
    <w:rsid w:val="18097740"/>
    <w:rsid w:val="185D3C42"/>
    <w:rsid w:val="185F38AF"/>
    <w:rsid w:val="18AD1BEB"/>
    <w:rsid w:val="18B3004A"/>
    <w:rsid w:val="18B96080"/>
    <w:rsid w:val="18F67868"/>
    <w:rsid w:val="190B2D88"/>
    <w:rsid w:val="190E6B63"/>
    <w:rsid w:val="19123928"/>
    <w:rsid w:val="19194264"/>
    <w:rsid w:val="19420786"/>
    <w:rsid w:val="19427EC0"/>
    <w:rsid w:val="195711D7"/>
    <w:rsid w:val="195D2A3F"/>
    <w:rsid w:val="198310E9"/>
    <w:rsid w:val="198D747A"/>
    <w:rsid w:val="19A15638"/>
    <w:rsid w:val="19CE23A1"/>
    <w:rsid w:val="1A125525"/>
    <w:rsid w:val="1A514E33"/>
    <w:rsid w:val="1A5F4342"/>
    <w:rsid w:val="1A8C5D82"/>
    <w:rsid w:val="1A994988"/>
    <w:rsid w:val="1A9B546C"/>
    <w:rsid w:val="1AA3511F"/>
    <w:rsid w:val="1AAE3B54"/>
    <w:rsid w:val="1AC10987"/>
    <w:rsid w:val="1B0C5B32"/>
    <w:rsid w:val="1B0D3E82"/>
    <w:rsid w:val="1B1652AB"/>
    <w:rsid w:val="1B181CD5"/>
    <w:rsid w:val="1B265306"/>
    <w:rsid w:val="1B3426D8"/>
    <w:rsid w:val="1B4F2450"/>
    <w:rsid w:val="1B8C18B7"/>
    <w:rsid w:val="1BB73AE1"/>
    <w:rsid w:val="1BDA6D68"/>
    <w:rsid w:val="1C555978"/>
    <w:rsid w:val="1C6554A1"/>
    <w:rsid w:val="1C7971B7"/>
    <w:rsid w:val="1CD402EC"/>
    <w:rsid w:val="1CF02333"/>
    <w:rsid w:val="1D0C33A2"/>
    <w:rsid w:val="1D113E6E"/>
    <w:rsid w:val="1D114E5E"/>
    <w:rsid w:val="1D1F0050"/>
    <w:rsid w:val="1D2222DC"/>
    <w:rsid w:val="1D5B3CDE"/>
    <w:rsid w:val="1D6E2950"/>
    <w:rsid w:val="1D98209B"/>
    <w:rsid w:val="1DA23746"/>
    <w:rsid w:val="1DAA14B9"/>
    <w:rsid w:val="1DD04513"/>
    <w:rsid w:val="1E4C5F8A"/>
    <w:rsid w:val="1E656063"/>
    <w:rsid w:val="1E6B06A5"/>
    <w:rsid w:val="1E7F7D9E"/>
    <w:rsid w:val="1E840DA4"/>
    <w:rsid w:val="1EA5444C"/>
    <w:rsid w:val="1EB350EF"/>
    <w:rsid w:val="1EC21749"/>
    <w:rsid w:val="1EEB7C4E"/>
    <w:rsid w:val="1F171B83"/>
    <w:rsid w:val="1F2D491A"/>
    <w:rsid w:val="1F7369C7"/>
    <w:rsid w:val="1F94547B"/>
    <w:rsid w:val="1FAF308C"/>
    <w:rsid w:val="1FC11109"/>
    <w:rsid w:val="1FEA1406"/>
    <w:rsid w:val="1FEF08C8"/>
    <w:rsid w:val="1FF72E6A"/>
    <w:rsid w:val="20176124"/>
    <w:rsid w:val="201B3ED4"/>
    <w:rsid w:val="20310B02"/>
    <w:rsid w:val="206F0406"/>
    <w:rsid w:val="20784063"/>
    <w:rsid w:val="207E346A"/>
    <w:rsid w:val="208E12C3"/>
    <w:rsid w:val="209502A3"/>
    <w:rsid w:val="20B9460A"/>
    <w:rsid w:val="210F579E"/>
    <w:rsid w:val="212550B5"/>
    <w:rsid w:val="21484F14"/>
    <w:rsid w:val="21592B62"/>
    <w:rsid w:val="21747CD2"/>
    <w:rsid w:val="219E5782"/>
    <w:rsid w:val="21E72B0B"/>
    <w:rsid w:val="221F2D96"/>
    <w:rsid w:val="22246DB1"/>
    <w:rsid w:val="22440067"/>
    <w:rsid w:val="2250480C"/>
    <w:rsid w:val="225A6017"/>
    <w:rsid w:val="227A5532"/>
    <w:rsid w:val="22843A03"/>
    <w:rsid w:val="22A338AB"/>
    <w:rsid w:val="22AD37A2"/>
    <w:rsid w:val="22B31E8A"/>
    <w:rsid w:val="22C735BD"/>
    <w:rsid w:val="23122833"/>
    <w:rsid w:val="23223458"/>
    <w:rsid w:val="23225D32"/>
    <w:rsid w:val="23357BE6"/>
    <w:rsid w:val="2342574E"/>
    <w:rsid w:val="2377331D"/>
    <w:rsid w:val="237D43DE"/>
    <w:rsid w:val="23940114"/>
    <w:rsid w:val="23B57016"/>
    <w:rsid w:val="23D4764B"/>
    <w:rsid w:val="23EC3718"/>
    <w:rsid w:val="24044EF2"/>
    <w:rsid w:val="2407139D"/>
    <w:rsid w:val="240B04F4"/>
    <w:rsid w:val="242A0646"/>
    <w:rsid w:val="2435301D"/>
    <w:rsid w:val="243D6E1A"/>
    <w:rsid w:val="24607F91"/>
    <w:rsid w:val="246C581B"/>
    <w:rsid w:val="247C52A2"/>
    <w:rsid w:val="24CC106B"/>
    <w:rsid w:val="24D00598"/>
    <w:rsid w:val="24D725E9"/>
    <w:rsid w:val="25045F70"/>
    <w:rsid w:val="25056E93"/>
    <w:rsid w:val="25092EBA"/>
    <w:rsid w:val="25241020"/>
    <w:rsid w:val="256016AA"/>
    <w:rsid w:val="257572C3"/>
    <w:rsid w:val="25790E85"/>
    <w:rsid w:val="25972C60"/>
    <w:rsid w:val="259D1676"/>
    <w:rsid w:val="25A353EB"/>
    <w:rsid w:val="25B87B65"/>
    <w:rsid w:val="25CB78C3"/>
    <w:rsid w:val="25D54390"/>
    <w:rsid w:val="261879A7"/>
    <w:rsid w:val="264B0BA4"/>
    <w:rsid w:val="268C5256"/>
    <w:rsid w:val="268E455B"/>
    <w:rsid w:val="26912B30"/>
    <w:rsid w:val="269772F0"/>
    <w:rsid w:val="26A30712"/>
    <w:rsid w:val="26AC0C27"/>
    <w:rsid w:val="26C807A6"/>
    <w:rsid w:val="26DB67BA"/>
    <w:rsid w:val="26E311CD"/>
    <w:rsid w:val="26EF24ED"/>
    <w:rsid w:val="26F1408A"/>
    <w:rsid w:val="27015370"/>
    <w:rsid w:val="270B421F"/>
    <w:rsid w:val="274E2228"/>
    <w:rsid w:val="27517A93"/>
    <w:rsid w:val="276658E8"/>
    <w:rsid w:val="277E30D2"/>
    <w:rsid w:val="27803F2A"/>
    <w:rsid w:val="27A34941"/>
    <w:rsid w:val="283C23DF"/>
    <w:rsid w:val="284C16F5"/>
    <w:rsid w:val="28570AB5"/>
    <w:rsid w:val="28C2534B"/>
    <w:rsid w:val="28C5525A"/>
    <w:rsid w:val="28D14B96"/>
    <w:rsid w:val="29020C46"/>
    <w:rsid w:val="290240C7"/>
    <w:rsid w:val="29274EE0"/>
    <w:rsid w:val="2969197F"/>
    <w:rsid w:val="29746E87"/>
    <w:rsid w:val="297C03C2"/>
    <w:rsid w:val="299573AB"/>
    <w:rsid w:val="29BE5BD0"/>
    <w:rsid w:val="29C01572"/>
    <w:rsid w:val="29E74CE2"/>
    <w:rsid w:val="2A306A36"/>
    <w:rsid w:val="2A5372C6"/>
    <w:rsid w:val="2A5B03D8"/>
    <w:rsid w:val="2A6F6D07"/>
    <w:rsid w:val="2A882500"/>
    <w:rsid w:val="2AB63ABC"/>
    <w:rsid w:val="2B003D00"/>
    <w:rsid w:val="2B074D5E"/>
    <w:rsid w:val="2B0B7C95"/>
    <w:rsid w:val="2B100BA9"/>
    <w:rsid w:val="2B1E3AFC"/>
    <w:rsid w:val="2B9E4F56"/>
    <w:rsid w:val="2BDB5A88"/>
    <w:rsid w:val="2BE91C37"/>
    <w:rsid w:val="2BEC3F72"/>
    <w:rsid w:val="2C083572"/>
    <w:rsid w:val="2C185F94"/>
    <w:rsid w:val="2C1F1AC4"/>
    <w:rsid w:val="2C3D03A0"/>
    <w:rsid w:val="2C3F3A41"/>
    <w:rsid w:val="2C4431C4"/>
    <w:rsid w:val="2C62059F"/>
    <w:rsid w:val="2C6634FA"/>
    <w:rsid w:val="2CAC022C"/>
    <w:rsid w:val="2CC11807"/>
    <w:rsid w:val="2CF16074"/>
    <w:rsid w:val="2CF81D1B"/>
    <w:rsid w:val="2D3F2453"/>
    <w:rsid w:val="2D835174"/>
    <w:rsid w:val="2DD90B7B"/>
    <w:rsid w:val="2DDC0033"/>
    <w:rsid w:val="2DDD3FC1"/>
    <w:rsid w:val="2DF701D8"/>
    <w:rsid w:val="2DF970A1"/>
    <w:rsid w:val="2E085834"/>
    <w:rsid w:val="2E1034F8"/>
    <w:rsid w:val="2E505773"/>
    <w:rsid w:val="2E742F70"/>
    <w:rsid w:val="2EDC2A13"/>
    <w:rsid w:val="2EFD7DB9"/>
    <w:rsid w:val="2F1A081D"/>
    <w:rsid w:val="2F1E3DC0"/>
    <w:rsid w:val="2F3112DE"/>
    <w:rsid w:val="2F3B6922"/>
    <w:rsid w:val="2F506C6D"/>
    <w:rsid w:val="2F51291F"/>
    <w:rsid w:val="2F55758A"/>
    <w:rsid w:val="2F7F15AE"/>
    <w:rsid w:val="2FA54796"/>
    <w:rsid w:val="2FA674E2"/>
    <w:rsid w:val="2FFE7D49"/>
    <w:rsid w:val="302A5C42"/>
    <w:rsid w:val="3075258E"/>
    <w:rsid w:val="30BF439A"/>
    <w:rsid w:val="30CB1B61"/>
    <w:rsid w:val="30CF6A37"/>
    <w:rsid w:val="30D250CF"/>
    <w:rsid w:val="31002970"/>
    <w:rsid w:val="311016AD"/>
    <w:rsid w:val="3136622A"/>
    <w:rsid w:val="3139422E"/>
    <w:rsid w:val="31700E4B"/>
    <w:rsid w:val="3172683C"/>
    <w:rsid w:val="31A359FC"/>
    <w:rsid w:val="31AD0D61"/>
    <w:rsid w:val="31CD73BD"/>
    <w:rsid w:val="31D66571"/>
    <w:rsid w:val="31DB4220"/>
    <w:rsid w:val="31E63B94"/>
    <w:rsid w:val="32176602"/>
    <w:rsid w:val="322A7699"/>
    <w:rsid w:val="322B25C6"/>
    <w:rsid w:val="32422E70"/>
    <w:rsid w:val="325E56C6"/>
    <w:rsid w:val="3275698A"/>
    <w:rsid w:val="32B943EC"/>
    <w:rsid w:val="32DC63A0"/>
    <w:rsid w:val="32E429C1"/>
    <w:rsid w:val="334A3B2A"/>
    <w:rsid w:val="3365592E"/>
    <w:rsid w:val="336F6533"/>
    <w:rsid w:val="337E5E2F"/>
    <w:rsid w:val="3384610D"/>
    <w:rsid w:val="33AA5979"/>
    <w:rsid w:val="33C03E90"/>
    <w:rsid w:val="33C96649"/>
    <w:rsid w:val="33CC3D88"/>
    <w:rsid w:val="33D76F4A"/>
    <w:rsid w:val="33FD722F"/>
    <w:rsid w:val="3400362D"/>
    <w:rsid w:val="340B09C5"/>
    <w:rsid w:val="341E4CAB"/>
    <w:rsid w:val="34584EE2"/>
    <w:rsid w:val="347D373F"/>
    <w:rsid w:val="34956481"/>
    <w:rsid w:val="34A35871"/>
    <w:rsid w:val="34C06C9D"/>
    <w:rsid w:val="34DF24AE"/>
    <w:rsid w:val="3500135E"/>
    <w:rsid w:val="351C4931"/>
    <w:rsid w:val="351D4C26"/>
    <w:rsid w:val="35361A77"/>
    <w:rsid w:val="35461A22"/>
    <w:rsid w:val="35483CC9"/>
    <w:rsid w:val="35A815CB"/>
    <w:rsid w:val="35AA1B9C"/>
    <w:rsid w:val="35DB09A6"/>
    <w:rsid w:val="3630459D"/>
    <w:rsid w:val="36883480"/>
    <w:rsid w:val="369B4CF0"/>
    <w:rsid w:val="36D62629"/>
    <w:rsid w:val="36D76172"/>
    <w:rsid w:val="36E833BB"/>
    <w:rsid w:val="36EB1E1B"/>
    <w:rsid w:val="36F17F0D"/>
    <w:rsid w:val="373234C8"/>
    <w:rsid w:val="3735197D"/>
    <w:rsid w:val="373756A2"/>
    <w:rsid w:val="375E0DA6"/>
    <w:rsid w:val="378B61A6"/>
    <w:rsid w:val="37CD3F98"/>
    <w:rsid w:val="37DF75BA"/>
    <w:rsid w:val="37E148E2"/>
    <w:rsid w:val="38304889"/>
    <w:rsid w:val="38382675"/>
    <w:rsid w:val="3851700B"/>
    <w:rsid w:val="385246B6"/>
    <w:rsid w:val="387737AC"/>
    <w:rsid w:val="38A53DB7"/>
    <w:rsid w:val="38BF3388"/>
    <w:rsid w:val="38CC268D"/>
    <w:rsid w:val="38EC2960"/>
    <w:rsid w:val="3906718E"/>
    <w:rsid w:val="392536E2"/>
    <w:rsid w:val="39465F15"/>
    <w:rsid w:val="396453C5"/>
    <w:rsid w:val="39922CCF"/>
    <w:rsid w:val="39A65327"/>
    <w:rsid w:val="39A65C9B"/>
    <w:rsid w:val="39BC5ED6"/>
    <w:rsid w:val="39EB39E0"/>
    <w:rsid w:val="39EF02D4"/>
    <w:rsid w:val="3A11342A"/>
    <w:rsid w:val="3A153110"/>
    <w:rsid w:val="3A2507C0"/>
    <w:rsid w:val="3A297E52"/>
    <w:rsid w:val="3A393FA7"/>
    <w:rsid w:val="3A64203E"/>
    <w:rsid w:val="3A663D00"/>
    <w:rsid w:val="3A7428D0"/>
    <w:rsid w:val="3A923AE4"/>
    <w:rsid w:val="3AA50E25"/>
    <w:rsid w:val="3AC566E3"/>
    <w:rsid w:val="3AD6747A"/>
    <w:rsid w:val="3B3D0FF2"/>
    <w:rsid w:val="3B521A18"/>
    <w:rsid w:val="3B7F1A97"/>
    <w:rsid w:val="3B923660"/>
    <w:rsid w:val="3BCA44BE"/>
    <w:rsid w:val="3C061F3A"/>
    <w:rsid w:val="3C244FFA"/>
    <w:rsid w:val="3C495480"/>
    <w:rsid w:val="3C6F0167"/>
    <w:rsid w:val="3C71667B"/>
    <w:rsid w:val="3C914F3B"/>
    <w:rsid w:val="3CA72347"/>
    <w:rsid w:val="3CC17F13"/>
    <w:rsid w:val="3CE320A3"/>
    <w:rsid w:val="3CE9196C"/>
    <w:rsid w:val="3CF15105"/>
    <w:rsid w:val="3D0C04B9"/>
    <w:rsid w:val="3D1414C5"/>
    <w:rsid w:val="3D1C763E"/>
    <w:rsid w:val="3D201AA5"/>
    <w:rsid w:val="3D2B37EA"/>
    <w:rsid w:val="3D2F7FF3"/>
    <w:rsid w:val="3D3D1507"/>
    <w:rsid w:val="3D62085B"/>
    <w:rsid w:val="3D7B4622"/>
    <w:rsid w:val="3D942E29"/>
    <w:rsid w:val="3DB54E0C"/>
    <w:rsid w:val="3DB900C1"/>
    <w:rsid w:val="3DE91725"/>
    <w:rsid w:val="3DF159B1"/>
    <w:rsid w:val="3E0B6E71"/>
    <w:rsid w:val="3E1A106E"/>
    <w:rsid w:val="3E36303B"/>
    <w:rsid w:val="3E526044"/>
    <w:rsid w:val="3E8C5311"/>
    <w:rsid w:val="3E8E7E55"/>
    <w:rsid w:val="3EB61473"/>
    <w:rsid w:val="3F315E6B"/>
    <w:rsid w:val="3F5175E2"/>
    <w:rsid w:val="3F56276A"/>
    <w:rsid w:val="3F6C10E0"/>
    <w:rsid w:val="3F963015"/>
    <w:rsid w:val="3F964D35"/>
    <w:rsid w:val="3FA327ED"/>
    <w:rsid w:val="3FB11738"/>
    <w:rsid w:val="3FB5581B"/>
    <w:rsid w:val="3FC33D05"/>
    <w:rsid w:val="3FF46B18"/>
    <w:rsid w:val="3FF74A2E"/>
    <w:rsid w:val="3FFC36E2"/>
    <w:rsid w:val="4005572D"/>
    <w:rsid w:val="402833BA"/>
    <w:rsid w:val="40283C2B"/>
    <w:rsid w:val="40394FD1"/>
    <w:rsid w:val="40425879"/>
    <w:rsid w:val="406214AE"/>
    <w:rsid w:val="40765D15"/>
    <w:rsid w:val="40786454"/>
    <w:rsid w:val="407F2DE9"/>
    <w:rsid w:val="40845973"/>
    <w:rsid w:val="408C5A03"/>
    <w:rsid w:val="40991379"/>
    <w:rsid w:val="409B3C3D"/>
    <w:rsid w:val="40F701DF"/>
    <w:rsid w:val="40FD480A"/>
    <w:rsid w:val="412A32F8"/>
    <w:rsid w:val="417F433E"/>
    <w:rsid w:val="41B7239D"/>
    <w:rsid w:val="41E47AD6"/>
    <w:rsid w:val="41FF3845"/>
    <w:rsid w:val="421104A9"/>
    <w:rsid w:val="42143B88"/>
    <w:rsid w:val="42164586"/>
    <w:rsid w:val="422143B7"/>
    <w:rsid w:val="425B5DD1"/>
    <w:rsid w:val="4260300C"/>
    <w:rsid w:val="42800B9B"/>
    <w:rsid w:val="42A06B6C"/>
    <w:rsid w:val="42EA5650"/>
    <w:rsid w:val="431408DA"/>
    <w:rsid w:val="4331401E"/>
    <w:rsid w:val="435A0DF2"/>
    <w:rsid w:val="436C42E1"/>
    <w:rsid w:val="437C210F"/>
    <w:rsid w:val="43847F02"/>
    <w:rsid w:val="438F113C"/>
    <w:rsid w:val="439E7EFB"/>
    <w:rsid w:val="43B1568A"/>
    <w:rsid w:val="43D43ECA"/>
    <w:rsid w:val="43DD452F"/>
    <w:rsid w:val="43DE6CD4"/>
    <w:rsid w:val="43E51150"/>
    <w:rsid w:val="43EF28BB"/>
    <w:rsid w:val="43EF56D3"/>
    <w:rsid w:val="440A6FD2"/>
    <w:rsid w:val="444946CA"/>
    <w:rsid w:val="444B3F54"/>
    <w:rsid w:val="4467501D"/>
    <w:rsid w:val="4476661F"/>
    <w:rsid w:val="447E3AC5"/>
    <w:rsid w:val="44A90BAA"/>
    <w:rsid w:val="44B24A20"/>
    <w:rsid w:val="44BC0BEE"/>
    <w:rsid w:val="44FB1C9C"/>
    <w:rsid w:val="451C313A"/>
    <w:rsid w:val="454F1836"/>
    <w:rsid w:val="45887B45"/>
    <w:rsid w:val="458B66DF"/>
    <w:rsid w:val="45940F0E"/>
    <w:rsid w:val="45AC5DBA"/>
    <w:rsid w:val="45C647AF"/>
    <w:rsid w:val="45DD529D"/>
    <w:rsid w:val="45E1701A"/>
    <w:rsid w:val="45E57886"/>
    <w:rsid w:val="46003076"/>
    <w:rsid w:val="46177E29"/>
    <w:rsid w:val="46205B7F"/>
    <w:rsid w:val="465D501C"/>
    <w:rsid w:val="466367DB"/>
    <w:rsid w:val="46686D18"/>
    <w:rsid w:val="46C3037C"/>
    <w:rsid w:val="46FF15E0"/>
    <w:rsid w:val="4700581C"/>
    <w:rsid w:val="4702516A"/>
    <w:rsid w:val="474A4B33"/>
    <w:rsid w:val="474D04FA"/>
    <w:rsid w:val="47665A15"/>
    <w:rsid w:val="47677941"/>
    <w:rsid w:val="477F1660"/>
    <w:rsid w:val="4788232A"/>
    <w:rsid w:val="478B0398"/>
    <w:rsid w:val="478F5D0B"/>
    <w:rsid w:val="47B8724E"/>
    <w:rsid w:val="47ED7BCA"/>
    <w:rsid w:val="48016F34"/>
    <w:rsid w:val="480556DB"/>
    <w:rsid w:val="48185C56"/>
    <w:rsid w:val="4832531E"/>
    <w:rsid w:val="48450F81"/>
    <w:rsid w:val="484E729D"/>
    <w:rsid w:val="485A23C2"/>
    <w:rsid w:val="48A16B62"/>
    <w:rsid w:val="48BC6222"/>
    <w:rsid w:val="48C245E9"/>
    <w:rsid w:val="48DB312A"/>
    <w:rsid w:val="48DF49D9"/>
    <w:rsid w:val="49081F84"/>
    <w:rsid w:val="492108CC"/>
    <w:rsid w:val="49392333"/>
    <w:rsid w:val="49D22F38"/>
    <w:rsid w:val="49E669E4"/>
    <w:rsid w:val="4A05334F"/>
    <w:rsid w:val="4A082FF4"/>
    <w:rsid w:val="4A244932"/>
    <w:rsid w:val="4A2922C8"/>
    <w:rsid w:val="4A4117B2"/>
    <w:rsid w:val="4A7A4350"/>
    <w:rsid w:val="4A7E2497"/>
    <w:rsid w:val="4A896826"/>
    <w:rsid w:val="4ABF5E17"/>
    <w:rsid w:val="4AE01A66"/>
    <w:rsid w:val="4AED707B"/>
    <w:rsid w:val="4B0B7979"/>
    <w:rsid w:val="4B520DF4"/>
    <w:rsid w:val="4B603107"/>
    <w:rsid w:val="4B9802B0"/>
    <w:rsid w:val="4B9E65BE"/>
    <w:rsid w:val="4B9F33A8"/>
    <w:rsid w:val="4BA80AFD"/>
    <w:rsid w:val="4BB033BA"/>
    <w:rsid w:val="4BB469AD"/>
    <w:rsid w:val="4BBB37B9"/>
    <w:rsid w:val="4BC06040"/>
    <w:rsid w:val="4BF441D2"/>
    <w:rsid w:val="4C1C2A09"/>
    <w:rsid w:val="4C3E2B07"/>
    <w:rsid w:val="4C694192"/>
    <w:rsid w:val="4C7964D9"/>
    <w:rsid w:val="4C9269F6"/>
    <w:rsid w:val="4CC84335"/>
    <w:rsid w:val="4CE9350A"/>
    <w:rsid w:val="4CF632F0"/>
    <w:rsid w:val="4D297BF3"/>
    <w:rsid w:val="4D2D0EAF"/>
    <w:rsid w:val="4D63401A"/>
    <w:rsid w:val="4D7F0082"/>
    <w:rsid w:val="4D952FD9"/>
    <w:rsid w:val="4D970662"/>
    <w:rsid w:val="4DB33393"/>
    <w:rsid w:val="4DCF1E0D"/>
    <w:rsid w:val="4DD632D9"/>
    <w:rsid w:val="4DE05DF9"/>
    <w:rsid w:val="4DE44800"/>
    <w:rsid w:val="4DEE0709"/>
    <w:rsid w:val="4DFC14EA"/>
    <w:rsid w:val="4DFF6815"/>
    <w:rsid w:val="4E0A3427"/>
    <w:rsid w:val="4E27036A"/>
    <w:rsid w:val="4E304B5D"/>
    <w:rsid w:val="4E682F8C"/>
    <w:rsid w:val="4E6A7BB7"/>
    <w:rsid w:val="4F0773B4"/>
    <w:rsid w:val="4F307BB1"/>
    <w:rsid w:val="4F3D562D"/>
    <w:rsid w:val="4F556802"/>
    <w:rsid w:val="4F5C4EE0"/>
    <w:rsid w:val="4F6E1972"/>
    <w:rsid w:val="4F943166"/>
    <w:rsid w:val="4FBA02A1"/>
    <w:rsid w:val="4FE7106E"/>
    <w:rsid w:val="50053943"/>
    <w:rsid w:val="50550E55"/>
    <w:rsid w:val="509F43E4"/>
    <w:rsid w:val="50A54D3E"/>
    <w:rsid w:val="50F1402B"/>
    <w:rsid w:val="50FD2AD9"/>
    <w:rsid w:val="51097D9A"/>
    <w:rsid w:val="51237D2E"/>
    <w:rsid w:val="51996737"/>
    <w:rsid w:val="51B408B8"/>
    <w:rsid w:val="51CC0868"/>
    <w:rsid w:val="51D5340F"/>
    <w:rsid w:val="52382F2A"/>
    <w:rsid w:val="52386E3D"/>
    <w:rsid w:val="523A7DD1"/>
    <w:rsid w:val="5271774C"/>
    <w:rsid w:val="529003B1"/>
    <w:rsid w:val="52DE008D"/>
    <w:rsid w:val="52EE341E"/>
    <w:rsid w:val="52F37FE6"/>
    <w:rsid w:val="52FC1CAF"/>
    <w:rsid w:val="532540D9"/>
    <w:rsid w:val="532B6CAF"/>
    <w:rsid w:val="53350D91"/>
    <w:rsid w:val="53412644"/>
    <w:rsid w:val="53433903"/>
    <w:rsid w:val="53517A72"/>
    <w:rsid w:val="535C74C1"/>
    <w:rsid w:val="5361549D"/>
    <w:rsid w:val="536220DA"/>
    <w:rsid w:val="53650637"/>
    <w:rsid w:val="53757C6B"/>
    <w:rsid w:val="537E1075"/>
    <w:rsid w:val="53A44D07"/>
    <w:rsid w:val="53A46AC8"/>
    <w:rsid w:val="53AB7F1F"/>
    <w:rsid w:val="53AC6F7B"/>
    <w:rsid w:val="53EB297B"/>
    <w:rsid w:val="5419263D"/>
    <w:rsid w:val="541E5562"/>
    <w:rsid w:val="542E2BC2"/>
    <w:rsid w:val="54352A96"/>
    <w:rsid w:val="54425CFB"/>
    <w:rsid w:val="54447390"/>
    <w:rsid w:val="545E1D01"/>
    <w:rsid w:val="54935B8F"/>
    <w:rsid w:val="54CC6227"/>
    <w:rsid w:val="54D10F9B"/>
    <w:rsid w:val="551D586C"/>
    <w:rsid w:val="55200298"/>
    <w:rsid w:val="55335E1B"/>
    <w:rsid w:val="554B7EF0"/>
    <w:rsid w:val="556F3D99"/>
    <w:rsid w:val="55860894"/>
    <w:rsid w:val="55B02DF1"/>
    <w:rsid w:val="55DC290C"/>
    <w:rsid w:val="55F01FA1"/>
    <w:rsid w:val="561D0945"/>
    <w:rsid w:val="56990B7C"/>
    <w:rsid w:val="569E1126"/>
    <w:rsid w:val="56AC249A"/>
    <w:rsid w:val="56B80DEB"/>
    <w:rsid w:val="56E06E61"/>
    <w:rsid w:val="56F653FE"/>
    <w:rsid w:val="575B7AFD"/>
    <w:rsid w:val="57660D3F"/>
    <w:rsid w:val="57706F91"/>
    <w:rsid w:val="57D1153D"/>
    <w:rsid w:val="57FA3774"/>
    <w:rsid w:val="58084A3C"/>
    <w:rsid w:val="585D2975"/>
    <w:rsid w:val="587E3341"/>
    <w:rsid w:val="58CF56D8"/>
    <w:rsid w:val="58D31010"/>
    <w:rsid w:val="58D6741E"/>
    <w:rsid w:val="58EA3D0E"/>
    <w:rsid w:val="58F71269"/>
    <w:rsid w:val="58FE045E"/>
    <w:rsid w:val="59561946"/>
    <w:rsid w:val="59670F51"/>
    <w:rsid w:val="596A44F9"/>
    <w:rsid w:val="596C19BB"/>
    <w:rsid w:val="59790BDB"/>
    <w:rsid w:val="598653AC"/>
    <w:rsid w:val="59AB52AC"/>
    <w:rsid w:val="59AC3C86"/>
    <w:rsid w:val="59D42FDA"/>
    <w:rsid w:val="59DA4E01"/>
    <w:rsid w:val="59F64E82"/>
    <w:rsid w:val="5A10435C"/>
    <w:rsid w:val="5A2654CC"/>
    <w:rsid w:val="5A323A44"/>
    <w:rsid w:val="5A395E66"/>
    <w:rsid w:val="5A484352"/>
    <w:rsid w:val="5A5321A5"/>
    <w:rsid w:val="5A745221"/>
    <w:rsid w:val="5A8734AF"/>
    <w:rsid w:val="5A9D3E45"/>
    <w:rsid w:val="5AA4101D"/>
    <w:rsid w:val="5AB17576"/>
    <w:rsid w:val="5ABD68E6"/>
    <w:rsid w:val="5ABF73D2"/>
    <w:rsid w:val="5ACB3D8A"/>
    <w:rsid w:val="5AE1508F"/>
    <w:rsid w:val="5AF80256"/>
    <w:rsid w:val="5B110CC9"/>
    <w:rsid w:val="5B1F7B5D"/>
    <w:rsid w:val="5B585171"/>
    <w:rsid w:val="5B585B78"/>
    <w:rsid w:val="5B9A2B59"/>
    <w:rsid w:val="5BC0085A"/>
    <w:rsid w:val="5BC349B4"/>
    <w:rsid w:val="5BF03D58"/>
    <w:rsid w:val="5C1A6BB2"/>
    <w:rsid w:val="5C357C0E"/>
    <w:rsid w:val="5C5355FE"/>
    <w:rsid w:val="5C6F4105"/>
    <w:rsid w:val="5C7A4EE2"/>
    <w:rsid w:val="5CBB7F6F"/>
    <w:rsid w:val="5CBE30B7"/>
    <w:rsid w:val="5D7C3F11"/>
    <w:rsid w:val="5D9D49E0"/>
    <w:rsid w:val="5DDF1821"/>
    <w:rsid w:val="5DEA2F91"/>
    <w:rsid w:val="5E0D2339"/>
    <w:rsid w:val="5E3146A3"/>
    <w:rsid w:val="5E442F62"/>
    <w:rsid w:val="5E6C2C5B"/>
    <w:rsid w:val="5E7251A2"/>
    <w:rsid w:val="5E7C3591"/>
    <w:rsid w:val="5E9D0E18"/>
    <w:rsid w:val="5EA2144B"/>
    <w:rsid w:val="5EA341D7"/>
    <w:rsid w:val="5EA755DE"/>
    <w:rsid w:val="5ED35F0E"/>
    <w:rsid w:val="5EFC1390"/>
    <w:rsid w:val="5EFC3EB6"/>
    <w:rsid w:val="5F03335D"/>
    <w:rsid w:val="5F0368C7"/>
    <w:rsid w:val="5F1544E7"/>
    <w:rsid w:val="5F3C4923"/>
    <w:rsid w:val="5F9A65E6"/>
    <w:rsid w:val="5F9B2627"/>
    <w:rsid w:val="5FAC7B1F"/>
    <w:rsid w:val="5FB80E3D"/>
    <w:rsid w:val="5FB831B4"/>
    <w:rsid w:val="5FD40999"/>
    <w:rsid w:val="5FDF3861"/>
    <w:rsid w:val="5FE5522B"/>
    <w:rsid w:val="5FF03F08"/>
    <w:rsid w:val="5FF2548E"/>
    <w:rsid w:val="5FF313D3"/>
    <w:rsid w:val="602610FD"/>
    <w:rsid w:val="602808B2"/>
    <w:rsid w:val="603814FF"/>
    <w:rsid w:val="604109A8"/>
    <w:rsid w:val="605D2617"/>
    <w:rsid w:val="60616CDC"/>
    <w:rsid w:val="60624E53"/>
    <w:rsid w:val="606319E5"/>
    <w:rsid w:val="60671922"/>
    <w:rsid w:val="607B3C50"/>
    <w:rsid w:val="608B6567"/>
    <w:rsid w:val="60FF21D9"/>
    <w:rsid w:val="613253FD"/>
    <w:rsid w:val="61421F29"/>
    <w:rsid w:val="61712185"/>
    <w:rsid w:val="61970898"/>
    <w:rsid w:val="61A90D68"/>
    <w:rsid w:val="621775E2"/>
    <w:rsid w:val="622F7552"/>
    <w:rsid w:val="6250406E"/>
    <w:rsid w:val="627D6831"/>
    <w:rsid w:val="62811B1C"/>
    <w:rsid w:val="62A20409"/>
    <w:rsid w:val="62B54B44"/>
    <w:rsid w:val="62E045DA"/>
    <w:rsid w:val="62E454A1"/>
    <w:rsid w:val="62F36E4C"/>
    <w:rsid w:val="62F47F8F"/>
    <w:rsid w:val="62F7233F"/>
    <w:rsid w:val="6340438B"/>
    <w:rsid w:val="6353238E"/>
    <w:rsid w:val="63612AB8"/>
    <w:rsid w:val="637D0978"/>
    <w:rsid w:val="638968B0"/>
    <w:rsid w:val="638A282C"/>
    <w:rsid w:val="63A85E90"/>
    <w:rsid w:val="63A962DB"/>
    <w:rsid w:val="63AB1A91"/>
    <w:rsid w:val="63EE4692"/>
    <w:rsid w:val="63FD622D"/>
    <w:rsid w:val="643F32F9"/>
    <w:rsid w:val="64412458"/>
    <w:rsid w:val="64582686"/>
    <w:rsid w:val="64673C87"/>
    <w:rsid w:val="64A251DD"/>
    <w:rsid w:val="64AF4418"/>
    <w:rsid w:val="64DB63AB"/>
    <w:rsid w:val="650242F0"/>
    <w:rsid w:val="65542778"/>
    <w:rsid w:val="655829AF"/>
    <w:rsid w:val="656B70C3"/>
    <w:rsid w:val="658F4798"/>
    <w:rsid w:val="659B1EBA"/>
    <w:rsid w:val="65B461E9"/>
    <w:rsid w:val="65BE39A8"/>
    <w:rsid w:val="65FB3FBE"/>
    <w:rsid w:val="65FE2039"/>
    <w:rsid w:val="66247D11"/>
    <w:rsid w:val="665054B9"/>
    <w:rsid w:val="66736112"/>
    <w:rsid w:val="667F5B5B"/>
    <w:rsid w:val="66897C79"/>
    <w:rsid w:val="6694262A"/>
    <w:rsid w:val="669609C2"/>
    <w:rsid w:val="66990381"/>
    <w:rsid w:val="66B31B01"/>
    <w:rsid w:val="66CE1E80"/>
    <w:rsid w:val="66E362F9"/>
    <w:rsid w:val="66E47FD9"/>
    <w:rsid w:val="67071922"/>
    <w:rsid w:val="671626D9"/>
    <w:rsid w:val="673B73C0"/>
    <w:rsid w:val="675608B6"/>
    <w:rsid w:val="67754402"/>
    <w:rsid w:val="677D54ED"/>
    <w:rsid w:val="67AC6886"/>
    <w:rsid w:val="67B25E27"/>
    <w:rsid w:val="67C4383B"/>
    <w:rsid w:val="67D35E1A"/>
    <w:rsid w:val="67F35317"/>
    <w:rsid w:val="680201B7"/>
    <w:rsid w:val="682F6F1D"/>
    <w:rsid w:val="68362BFB"/>
    <w:rsid w:val="683F1130"/>
    <w:rsid w:val="684456A1"/>
    <w:rsid w:val="685E1363"/>
    <w:rsid w:val="688A0B3C"/>
    <w:rsid w:val="688E1089"/>
    <w:rsid w:val="68A026F3"/>
    <w:rsid w:val="68AF6C13"/>
    <w:rsid w:val="68D77169"/>
    <w:rsid w:val="690E07C7"/>
    <w:rsid w:val="69236A65"/>
    <w:rsid w:val="692E469B"/>
    <w:rsid w:val="69315C48"/>
    <w:rsid w:val="694019EC"/>
    <w:rsid w:val="69584DB4"/>
    <w:rsid w:val="696C3D80"/>
    <w:rsid w:val="69792EBA"/>
    <w:rsid w:val="698A5EE4"/>
    <w:rsid w:val="69C811ED"/>
    <w:rsid w:val="69D33070"/>
    <w:rsid w:val="69E97E75"/>
    <w:rsid w:val="69FB5D9E"/>
    <w:rsid w:val="6A1A3007"/>
    <w:rsid w:val="6A1E645E"/>
    <w:rsid w:val="6A417049"/>
    <w:rsid w:val="6A7903E5"/>
    <w:rsid w:val="6AA03032"/>
    <w:rsid w:val="6AA86FEC"/>
    <w:rsid w:val="6ADA6AC4"/>
    <w:rsid w:val="6ADB11D6"/>
    <w:rsid w:val="6B1A2C3C"/>
    <w:rsid w:val="6B31644D"/>
    <w:rsid w:val="6B486C86"/>
    <w:rsid w:val="6B554C72"/>
    <w:rsid w:val="6B847AD7"/>
    <w:rsid w:val="6B9A2DF9"/>
    <w:rsid w:val="6BAC4619"/>
    <w:rsid w:val="6BCD2823"/>
    <w:rsid w:val="6BDD15DD"/>
    <w:rsid w:val="6BDF2966"/>
    <w:rsid w:val="6BE86A5F"/>
    <w:rsid w:val="6BF84629"/>
    <w:rsid w:val="6C234DED"/>
    <w:rsid w:val="6C29198B"/>
    <w:rsid w:val="6C3A67D1"/>
    <w:rsid w:val="6C3D2D5C"/>
    <w:rsid w:val="6C4800AA"/>
    <w:rsid w:val="6C4D28F8"/>
    <w:rsid w:val="6C5101CA"/>
    <w:rsid w:val="6C573E9C"/>
    <w:rsid w:val="6C6D1126"/>
    <w:rsid w:val="6CA35B3A"/>
    <w:rsid w:val="6CA41A5D"/>
    <w:rsid w:val="6CAF588C"/>
    <w:rsid w:val="6CB4638E"/>
    <w:rsid w:val="6CBF3C6A"/>
    <w:rsid w:val="6CBF5306"/>
    <w:rsid w:val="6CE70FA1"/>
    <w:rsid w:val="6CFA6351"/>
    <w:rsid w:val="6CFC3C40"/>
    <w:rsid w:val="6D480984"/>
    <w:rsid w:val="6D9A1575"/>
    <w:rsid w:val="6DB13E57"/>
    <w:rsid w:val="6DC71662"/>
    <w:rsid w:val="6DCD5126"/>
    <w:rsid w:val="6DDB6CB0"/>
    <w:rsid w:val="6DE52ACD"/>
    <w:rsid w:val="6DFC0B44"/>
    <w:rsid w:val="6E0458E7"/>
    <w:rsid w:val="6E212037"/>
    <w:rsid w:val="6E3B221B"/>
    <w:rsid w:val="6E475779"/>
    <w:rsid w:val="6E7764EF"/>
    <w:rsid w:val="6EAD447C"/>
    <w:rsid w:val="6ECD7F59"/>
    <w:rsid w:val="6EED7C80"/>
    <w:rsid w:val="6EF773A4"/>
    <w:rsid w:val="6F2F2D9E"/>
    <w:rsid w:val="6F4147D9"/>
    <w:rsid w:val="6F947E4B"/>
    <w:rsid w:val="6FA30BDA"/>
    <w:rsid w:val="6FB80698"/>
    <w:rsid w:val="7024611F"/>
    <w:rsid w:val="70637B96"/>
    <w:rsid w:val="70797317"/>
    <w:rsid w:val="7099044B"/>
    <w:rsid w:val="709D518F"/>
    <w:rsid w:val="70C759D3"/>
    <w:rsid w:val="70CF2B23"/>
    <w:rsid w:val="710952C1"/>
    <w:rsid w:val="71452CD8"/>
    <w:rsid w:val="7158683A"/>
    <w:rsid w:val="715B2F52"/>
    <w:rsid w:val="71764F23"/>
    <w:rsid w:val="71946576"/>
    <w:rsid w:val="71967E84"/>
    <w:rsid w:val="71A61873"/>
    <w:rsid w:val="71AF4936"/>
    <w:rsid w:val="71D75D0F"/>
    <w:rsid w:val="71E31D57"/>
    <w:rsid w:val="721919B3"/>
    <w:rsid w:val="721A6098"/>
    <w:rsid w:val="72310D1A"/>
    <w:rsid w:val="725D6B54"/>
    <w:rsid w:val="729C6026"/>
    <w:rsid w:val="72A17C99"/>
    <w:rsid w:val="72AF6F7E"/>
    <w:rsid w:val="72C576C8"/>
    <w:rsid w:val="73047904"/>
    <w:rsid w:val="734C1A6A"/>
    <w:rsid w:val="735C5949"/>
    <w:rsid w:val="73737DA5"/>
    <w:rsid w:val="73887B3E"/>
    <w:rsid w:val="73892412"/>
    <w:rsid w:val="73C03C7E"/>
    <w:rsid w:val="73E96BCA"/>
    <w:rsid w:val="73EE4A6E"/>
    <w:rsid w:val="741048BC"/>
    <w:rsid w:val="742E78D4"/>
    <w:rsid w:val="74676A28"/>
    <w:rsid w:val="7479207F"/>
    <w:rsid w:val="747E40B6"/>
    <w:rsid w:val="74AC3224"/>
    <w:rsid w:val="74BB2C83"/>
    <w:rsid w:val="74DE4E5F"/>
    <w:rsid w:val="74EB54AB"/>
    <w:rsid w:val="74FF6D43"/>
    <w:rsid w:val="750201A2"/>
    <w:rsid w:val="751A76AF"/>
    <w:rsid w:val="75250574"/>
    <w:rsid w:val="7550443E"/>
    <w:rsid w:val="755F0BCC"/>
    <w:rsid w:val="756F17F9"/>
    <w:rsid w:val="75825461"/>
    <w:rsid w:val="759926FC"/>
    <w:rsid w:val="75A24276"/>
    <w:rsid w:val="75AA231D"/>
    <w:rsid w:val="75E8633A"/>
    <w:rsid w:val="763F09AA"/>
    <w:rsid w:val="764D37C3"/>
    <w:rsid w:val="764F3FCC"/>
    <w:rsid w:val="7650339F"/>
    <w:rsid w:val="76603C9A"/>
    <w:rsid w:val="76750E5E"/>
    <w:rsid w:val="76BB1CAB"/>
    <w:rsid w:val="76C04050"/>
    <w:rsid w:val="76E65049"/>
    <w:rsid w:val="77076007"/>
    <w:rsid w:val="77413F7E"/>
    <w:rsid w:val="77835654"/>
    <w:rsid w:val="7797109C"/>
    <w:rsid w:val="779A2A38"/>
    <w:rsid w:val="77B07B65"/>
    <w:rsid w:val="77B4450A"/>
    <w:rsid w:val="77B46E73"/>
    <w:rsid w:val="77E37A12"/>
    <w:rsid w:val="77FE3468"/>
    <w:rsid w:val="78546F0C"/>
    <w:rsid w:val="78EE1C79"/>
    <w:rsid w:val="797239CC"/>
    <w:rsid w:val="79831473"/>
    <w:rsid w:val="7999527A"/>
    <w:rsid w:val="79AF76C5"/>
    <w:rsid w:val="79C25EE1"/>
    <w:rsid w:val="79CE2967"/>
    <w:rsid w:val="79EA664C"/>
    <w:rsid w:val="7A2F459A"/>
    <w:rsid w:val="7A517022"/>
    <w:rsid w:val="7A6F5001"/>
    <w:rsid w:val="7AA2343E"/>
    <w:rsid w:val="7ADA73A4"/>
    <w:rsid w:val="7AE66B99"/>
    <w:rsid w:val="7B0A3BCA"/>
    <w:rsid w:val="7B4048C1"/>
    <w:rsid w:val="7B73082F"/>
    <w:rsid w:val="7B8D45CE"/>
    <w:rsid w:val="7BC62E00"/>
    <w:rsid w:val="7BE35E2A"/>
    <w:rsid w:val="7BFA1CC7"/>
    <w:rsid w:val="7BFB70B3"/>
    <w:rsid w:val="7C0251DA"/>
    <w:rsid w:val="7C1052F2"/>
    <w:rsid w:val="7C2668D9"/>
    <w:rsid w:val="7C32497F"/>
    <w:rsid w:val="7C3C69AE"/>
    <w:rsid w:val="7C691974"/>
    <w:rsid w:val="7C8A6570"/>
    <w:rsid w:val="7C8B7390"/>
    <w:rsid w:val="7C9B0D0E"/>
    <w:rsid w:val="7CA42B03"/>
    <w:rsid w:val="7CD2318A"/>
    <w:rsid w:val="7CD2702A"/>
    <w:rsid w:val="7CD34C42"/>
    <w:rsid w:val="7CDE3FF9"/>
    <w:rsid w:val="7CE26EBF"/>
    <w:rsid w:val="7CEE3130"/>
    <w:rsid w:val="7D1F6674"/>
    <w:rsid w:val="7D480B34"/>
    <w:rsid w:val="7D9005BC"/>
    <w:rsid w:val="7D9F0AD0"/>
    <w:rsid w:val="7DD12BB7"/>
    <w:rsid w:val="7DFF0955"/>
    <w:rsid w:val="7E0B750E"/>
    <w:rsid w:val="7E2822EA"/>
    <w:rsid w:val="7E355A7B"/>
    <w:rsid w:val="7E6E3E85"/>
    <w:rsid w:val="7E952DCE"/>
    <w:rsid w:val="7E9C184B"/>
    <w:rsid w:val="7EA72948"/>
    <w:rsid w:val="7EB31EDB"/>
    <w:rsid w:val="7EE70CC0"/>
    <w:rsid w:val="7EEB48DB"/>
    <w:rsid w:val="7EF27444"/>
    <w:rsid w:val="7F265C58"/>
    <w:rsid w:val="7F582CF2"/>
    <w:rsid w:val="7F951B40"/>
    <w:rsid w:val="7FBF10B0"/>
    <w:rsid w:val="7FF302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qFormat="1" w:uiPriority="99"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qFormat="1" w:uiPriority="9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85"/>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4"/>
    <w:qFormat/>
    <w:uiPriority w:val="0"/>
    <w:pPr>
      <w:keepNext/>
      <w:keepLines/>
      <w:spacing w:before="340" w:after="330" w:line="576" w:lineRule="auto"/>
      <w:outlineLvl w:val="0"/>
    </w:pPr>
    <w:rPr>
      <w:b/>
      <w:bCs/>
      <w:kern w:val="44"/>
      <w:sz w:val="44"/>
      <w:szCs w:val="44"/>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paragraph" w:styleId="6">
    <w:name w:val="heading 4"/>
    <w:basedOn w:val="1"/>
    <w:next w:val="1"/>
    <w:qFormat/>
    <w:uiPriority w:val="0"/>
    <w:pPr>
      <w:keepNext/>
      <w:keepLines/>
      <w:spacing w:line="360" w:lineRule="auto"/>
      <w:outlineLvl w:val="3"/>
    </w:pPr>
    <w:rPr>
      <w:rFonts w:ascii="Arial" w:hAnsi="Arial"/>
      <w:b/>
      <w:bCs/>
      <w:szCs w:val="28"/>
    </w:rPr>
  </w:style>
  <w:style w:type="character" w:default="1" w:styleId="34">
    <w:name w:val="Default Paragraph Font"/>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4">
    <w:name w:val="Body Text"/>
    <w:basedOn w:val="1"/>
    <w:next w:val="1"/>
    <w:link w:val="73"/>
    <w:qFormat/>
    <w:uiPriority w:val="0"/>
  </w:style>
  <w:style w:type="paragraph" w:styleId="7">
    <w:name w:val="List Number"/>
    <w:basedOn w:val="1"/>
    <w:qFormat/>
    <w:uiPriority w:val="0"/>
    <w:pPr>
      <w:widowControl/>
      <w:spacing w:beforeAutospacing="1" w:afterAutospacing="1"/>
      <w:jc w:val="left"/>
    </w:pPr>
    <w:rPr>
      <w:rFonts w:ascii="宋体" w:hAnsi="宋体" w:cs="宋体"/>
      <w:kern w:val="0"/>
      <w:sz w:val="24"/>
    </w:rPr>
  </w:style>
  <w:style w:type="paragraph" w:styleId="8">
    <w:name w:val="Normal Indent"/>
    <w:basedOn w:val="1"/>
    <w:qFormat/>
    <w:uiPriority w:val="0"/>
    <w:pPr>
      <w:widowControl/>
      <w:spacing w:beforeAutospacing="1" w:afterAutospacing="1"/>
      <w:jc w:val="left"/>
    </w:pPr>
    <w:rPr>
      <w:rFonts w:ascii="宋体" w:hAnsi="宋体" w:cs="宋体"/>
      <w:kern w:val="0"/>
      <w:sz w:val="24"/>
    </w:rPr>
  </w:style>
  <w:style w:type="paragraph" w:styleId="9">
    <w:name w:val="Document Map"/>
    <w:basedOn w:val="1"/>
    <w:link w:val="75"/>
    <w:qFormat/>
    <w:uiPriority w:val="0"/>
    <w:rPr>
      <w:rFonts w:ascii="宋体" w:hAnsi="Calibri"/>
      <w:sz w:val="18"/>
      <w:szCs w:val="18"/>
    </w:rPr>
  </w:style>
  <w:style w:type="paragraph" w:styleId="10">
    <w:name w:val="annotation text"/>
    <w:basedOn w:val="1"/>
    <w:qFormat/>
    <w:uiPriority w:val="0"/>
    <w:pPr>
      <w:jc w:val="left"/>
    </w:pPr>
  </w:style>
  <w:style w:type="paragraph" w:styleId="11">
    <w:name w:val="Body Text 3"/>
    <w:basedOn w:val="1"/>
    <w:qFormat/>
    <w:uiPriority w:val="0"/>
    <w:rPr>
      <w:sz w:val="16"/>
      <w:szCs w:val="16"/>
    </w:rPr>
  </w:style>
  <w:style w:type="paragraph" w:styleId="12">
    <w:name w:val="Body Text Indent"/>
    <w:basedOn w:val="1"/>
    <w:next w:val="13"/>
    <w:qFormat/>
    <w:uiPriority w:val="0"/>
    <w:pPr>
      <w:widowControl/>
      <w:spacing w:beforeAutospacing="1" w:afterAutospacing="1"/>
      <w:jc w:val="left"/>
    </w:pPr>
    <w:rPr>
      <w:rFonts w:ascii="宋体" w:hAnsi="宋体" w:cs="宋体"/>
      <w:kern w:val="0"/>
      <w:sz w:val="24"/>
    </w:rPr>
  </w:style>
  <w:style w:type="paragraph" w:customStyle="1" w:styleId="13">
    <w:name w:val="目录 51"/>
    <w:next w:val="1"/>
    <w:qFormat/>
    <w:uiPriority w:val="0"/>
    <w:pPr>
      <w:wordWrap w:val="0"/>
      <w:ind w:left="1700"/>
      <w:jc w:val="both"/>
    </w:pPr>
    <w:rPr>
      <w:rFonts w:ascii="Calibri" w:hAnsi="Calibri" w:eastAsia="Calibri" w:cs="Times New Roman"/>
      <w:sz w:val="21"/>
      <w:lang w:val="en-US" w:eastAsia="zh-CN" w:bidi="ar-SA"/>
    </w:rPr>
  </w:style>
  <w:style w:type="paragraph" w:styleId="14">
    <w:name w:val="List 2"/>
    <w:basedOn w:val="1"/>
    <w:qFormat/>
    <w:uiPriority w:val="0"/>
    <w:pPr>
      <w:ind w:left="100" w:leftChars="200" w:hanging="200" w:hangingChars="200"/>
    </w:pPr>
  </w:style>
  <w:style w:type="paragraph" w:styleId="15">
    <w:name w:val="Block Text"/>
    <w:basedOn w:val="1"/>
    <w:unhideWhenUsed/>
    <w:qFormat/>
    <w:uiPriority w:val="99"/>
    <w:pPr>
      <w:snapToGrid w:val="0"/>
      <w:spacing w:before="100" w:after="100"/>
      <w:ind w:left="-22" w:leftChars="-8" w:right="-40" w:firstLine="548" w:firstLineChars="196"/>
    </w:pPr>
    <w:rPr>
      <w:rFonts w:ascii="宋体" w:hAnsi="宋体"/>
      <w:sz w:val="28"/>
    </w:rPr>
  </w:style>
  <w:style w:type="paragraph" w:styleId="16">
    <w:name w:val="toc 3"/>
    <w:basedOn w:val="1"/>
    <w:next w:val="1"/>
    <w:qFormat/>
    <w:uiPriority w:val="0"/>
    <w:pPr>
      <w:tabs>
        <w:tab w:val="left" w:pos="709"/>
        <w:tab w:val="right" w:leader="dot" w:pos="8789"/>
      </w:tabs>
      <w:spacing w:line="400" w:lineRule="atLeast"/>
    </w:pPr>
    <w:rPr>
      <w:rFonts w:ascii="宋体"/>
      <w:kern w:val="0"/>
      <w:szCs w:val="20"/>
    </w:rPr>
  </w:style>
  <w:style w:type="paragraph" w:styleId="17">
    <w:name w:val="Plain Text"/>
    <w:basedOn w:val="1"/>
    <w:qFormat/>
    <w:uiPriority w:val="0"/>
    <w:pPr>
      <w:widowControl/>
      <w:spacing w:beforeAutospacing="1" w:afterAutospacing="1"/>
      <w:jc w:val="left"/>
    </w:pPr>
    <w:rPr>
      <w:rFonts w:ascii="宋体" w:hAnsi="宋体" w:cs="宋体"/>
      <w:kern w:val="0"/>
      <w:sz w:val="24"/>
    </w:rPr>
  </w:style>
  <w:style w:type="paragraph" w:styleId="18">
    <w:name w:val="Date"/>
    <w:basedOn w:val="1"/>
    <w:next w:val="1"/>
    <w:qFormat/>
    <w:uiPriority w:val="0"/>
    <w:pPr>
      <w:ind w:left="100" w:leftChars="2500"/>
    </w:pPr>
    <w:rPr>
      <w:rFonts w:ascii="宋体" w:hAnsi="宋体"/>
      <w:sz w:val="28"/>
    </w:rPr>
  </w:style>
  <w:style w:type="paragraph" w:styleId="19">
    <w:name w:val="Body Text Indent 2"/>
    <w:basedOn w:val="1"/>
    <w:qFormat/>
    <w:uiPriority w:val="0"/>
    <w:pPr>
      <w:spacing w:line="480" w:lineRule="auto"/>
      <w:ind w:left="420" w:leftChars="200"/>
    </w:pPr>
  </w:style>
  <w:style w:type="paragraph" w:styleId="20">
    <w:name w:val="footer"/>
    <w:basedOn w:val="1"/>
    <w:qFormat/>
    <w:uiPriority w:val="0"/>
    <w:pPr>
      <w:tabs>
        <w:tab w:val="center" w:pos="4153"/>
        <w:tab w:val="right" w:pos="8306"/>
      </w:tabs>
      <w:snapToGrid w:val="0"/>
      <w:jc w:val="left"/>
    </w:pPr>
    <w:rPr>
      <w:sz w:val="18"/>
      <w:szCs w:val="18"/>
    </w:rPr>
  </w:style>
  <w:style w:type="paragraph" w:styleId="21">
    <w:name w:val="envelope return"/>
    <w:basedOn w:val="1"/>
    <w:unhideWhenUsed/>
    <w:qFormat/>
    <w:uiPriority w:val="99"/>
    <w:pPr>
      <w:snapToGrid w:val="0"/>
    </w:pPr>
    <w:rPr>
      <w:rFonts w:ascii="Arial" w:hAnsi="Arial"/>
    </w:rPr>
  </w:style>
  <w:style w:type="paragraph" w:styleId="2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qFormat/>
    <w:uiPriority w:val="0"/>
  </w:style>
  <w:style w:type="paragraph" w:styleId="24">
    <w:name w:val="List"/>
    <w:basedOn w:val="1"/>
    <w:qFormat/>
    <w:uiPriority w:val="0"/>
    <w:pPr>
      <w:ind w:left="200" w:hanging="200" w:hangingChars="200"/>
    </w:pPr>
  </w:style>
  <w:style w:type="paragraph" w:styleId="25">
    <w:name w:val="Body Text 2"/>
    <w:basedOn w:val="1"/>
    <w:next w:val="4"/>
    <w:qFormat/>
    <w:uiPriority w:val="0"/>
    <w:pPr>
      <w:spacing w:line="480" w:lineRule="auto"/>
    </w:pPr>
  </w:style>
  <w:style w:type="paragraph" w:styleId="26">
    <w:name w:val="Message Header"/>
    <w:basedOn w:val="1"/>
    <w:unhideWhenUsed/>
    <w:qFormat/>
    <w:uiPriority w:val="99"/>
    <w:pPr>
      <w:pBdr>
        <w:top w:val="single" w:color="auto" w:sz="6" w:space="1"/>
        <w:left w:val="single" w:color="auto" w:sz="6" w:space="1"/>
        <w:bottom w:val="single" w:color="auto" w:sz="6" w:space="1"/>
        <w:right w:val="single" w:color="auto" w:sz="6" w:space="1"/>
      </w:pBdr>
      <w:shd w:val="clear" w:color="auto" w:fill="7F7F7F"/>
      <w:spacing w:before="100" w:beforeAutospacing="1" w:after="100" w:afterAutospacing="1"/>
      <w:ind w:left="1080" w:leftChars="500" w:hanging="1080" w:hangingChars="500"/>
    </w:pPr>
    <w:rPr>
      <w:rFonts w:ascii="Cambria" w:hAnsi="Cambria"/>
      <w:sz w:val="24"/>
      <w:szCs w:val="24"/>
    </w:rPr>
  </w:style>
  <w:style w:type="paragraph" w:styleId="2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28">
    <w:name w:val="Normal (Web)"/>
    <w:basedOn w:val="1"/>
    <w:qFormat/>
    <w:uiPriority w:val="99"/>
    <w:pPr>
      <w:spacing w:before="100" w:beforeAutospacing="1" w:after="100" w:afterAutospacing="1"/>
      <w:jc w:val="left"/>
    </w:pPr>
    <w:rPr>
      <w:kern w:val="0"/>
      <w:sz w:val="24"/>
    </w:rPr>
  </w:style>
  <w:style w:type="paragraph" w:styleId="29">
    <w:name w:val="Title"/>
    <w:basedOn w:val="1"/>
    <w:qFormat/>
    <w:uiPriority w:val="0"/>
    <w:pPr>
      <w:jc w:val="center"/>
      <w:outlineLvl w:val="0"/>
    </w:pPr>
    <w:rPr>
      <w:rFonts w:ascii="Arial" w:hAnsi="Arial" w:cs="Arial"/>
      <w:b/>
      <w:bCs/>
      <w:sz w:val="32"/>
      <w:szCs w:val="32"/>
    </w:rPr>
  </w:style>
  <w:style w:type="paragraph" w:styleId="30">
    <w:name w:val="Body Text First Indent"/>
    <w:basedOn w:val="4"/>
    <w:next w:val="31"/>
    <w:qFormat/>
    <w:uiPriority w:val="0"/>
    <w:pPr>
      <w:spacing w:line="360" w:lineRule="auto"/>
      <w:ind w:firstLine="420" w:firstLineChars="100"/>
    </w:pPr>
    <w:rPr>
      <w:szCs w:val="21"/>
    </w:rPr>
  </w:style>
  <w:style w:type="paragraph" w:styleId="31">
    <w:name w:val="Body Text First Indent 2"/>
    <w:basedOn w:val="12"/>
    <w:next w:val="1"/>
    <w:qFormat/>
    <w:uiPriority w:val="0"/>
    <w:pPr>
      <w:ind w:firstLine="420" w:firstLineChars="200"/>
    </w:pPr>
  </w:style>
  <w:style w:type="table" w:styleId="33">
    <w:name w:val="Table Grid"/>
    <w:basedOn w:val="32"/>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5">
    <w:name w:val="Strong"/>
    <w:qFormat/>
    <w:uiPriority w:val="0"/>
    <w:rPr>
      <w:b/>
      <w:bCs/>
      <w:szCs w:val="24"/>
    </w:rPr>
  </w:style>
  <w:style w:type="character" w:styleId="36">
    <w:name w:val="page number"/>
    <w:basedOn w:val="34"/>
    <w:qFormat/>
    <w:uiPriority w:val="0"/>
  </w:style>
  <w:style w:type="character" w:styleId="37">
    <w:name w:val="FollowedHyperlink"/>
    <w:qFormat/>
    <w:uiPriority w:val="0"/>
    <w:rPr>
      <w:color w:val="333333"/>
      <w:szCs w:val="24"/>
      <w:u w:val="none"/>
    </w:rPr>
  </w:style>
  <w:style w:type="character" w:styleId="38">
    <w:name w:val="Emphasis"/>
    <w:basedOn w:val="34"/>
    <w:qFormat/>
    <w:uiPriority w:val="0"/>
  </w:style>
  <w:style w:type="character" w:styleId="39">
    <w:name w:val="HTML Definition"/>
    <w:basedOn w:val="34"/>
    <w:qFormat/>
    <w:uiPriority w:val="0"/>
  </w:style>
  <w:style w:type="character" w:styleId="40">
    <w:name w:val="HTML Typewriter"/>
    <w:basedOn w:val="34"/>
    <w:qFormat/>
    <w:uiPriority w:val="0"/>
    <w:rPr>
      <w:rFonts w:hint="default" w:ascii="monospace" w:hAnsi="monospace" w:eastAsia="monospace" w:cs="monospace"/>
      <w:sz w:val="20"/>
    </w:rPr>
  </w:style>
  <w:style w:type="character" w:styleId="41">
    <w:name w:val="HTML Acronym"/>
    <w:basedOn w:val="34"/>
    <w:qFormat/>
    <w:uiPriority w:val="0"/>
  </w:style>
  <w:style w:type="character" w:styleId="42">
    <w:name w:val="HTML Variable"/>
    <w:basedOn w:val="34"/>
    <w:qFormat/>
    <w:uiPriority w:val="0"/>
  </w:style>
  <w:style w:type="character" w:styleId="43">
    <w:name w:val="Hyperlink"/>
    <w:basedOn w:val="34"/>
    <w:qFormat/>
    <w:uiPriority w:val="0"/>
    <w:rPr>
      <w:color w:val="333333"/>
      <w:szCs w:val="24"/>
      <w:u w:val="none"/>
    </w:rPr>
  </w:style>
  <w:style w:type="character" w:styleId="44">
    <w:name w:val="HTML Code"/>
    <w:basedOn w:val="34"/>
    <w:qFormat/>
    <w:uiPriority w:val="0"/>
    <w:rPr>
      <w:rFonts w:ascii="monospace" w:hAnsi="monospace" w:eastAsia="monospace" w:cs="monospace"/>
      <w:sz w:val="20"/>
    </w:rPr>
  </w:style>
  <w:style w:type="character" w:styleId="45">
    <w:name w:val="HTML Cite"/>
    <w:basedOn w:val="34"/>
    <w:qFormat/>
    <w:uiPriority w:val="0"/>
  </w:style>
  <w:style w:type="character" w:styleId="46">
    <w:name w:val="HTML Keyboard"/>
    <w:basedOn w:val="34"/>
    <w:qFormat/>
    <w:uiPriority w:val="0"/>
    <w:rPr>
      <w:rFonts w:hint="default" w:ascii="monospace" w:hAnsi="monospace" w:eastAsia="monospace" w:cs="monospace"/>
      <w:sz w:val="20"/>
    </w:rPr>
  </w:style>
  <w:style w:type="character" w:styleId="47">
    <w:name w:val="HTML Sample"/>
    <w:basedOn w:val="34"/>
    <w:qFormat/>
    <w:uiPriority w:val="0"/>
    <w:rPr>
      <w:rFonts w:hint="default" w:ascii="monospace" w:hAnsi="monospace" w:eastAsia="monospace" w:cs="monospace"/>
    </w:rPr>
  </w:style>
  <w:style w:type="paragraph" w:customStyle="1" w:styleId="48">
    <w:name w:val="Default"/>
    <w:next w:val="49"/>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9">
    <w:name w:val="大标题"/>
    <w:basedOn w:val="1"/>
    <w:next w:val="31"/>
    <w:qFormat/>
    <w:uiPriority w:val="0"/>
    <w:pPr>
      <w:jc w:val="center"/>
    </w:pPr>
    <w:rPr>
      <w:rFonts w:ascii="Arial" w:hAnsi="Arial"/>
      <w:b/>
      <w:sz w:val="28"/>
    </w:rPr>
  </w:style>
  <w:style w:type="paragraph" w:customStyle="1" w:styleId="50">
    <w:name w:val="样式 正文首行缩进 2 + Arial"/>
    <w:basedOn w:val="1"/>
    <w:next w:val="1"/>
    <w:qFormat/>
    <w:uiPriority w:val="0"/>
    <w:pPr>
      <w:spacing w:after="120" w:line="320" w:lineRule="atLeast"/>
      <w:ind w:firstLine="200" w:firstLineChars="200"/>
    </w:pPr>
    <w:rPr>
      <w:rFonts w:ascii="Arial" w:hAnsi="Arial"/>
      <w:kern w:val="0"/>
    </w:rPr>
  </w:style>
  <w:style w:type="paragraph" w:customStyle="1" w:styleId="51">
    <w:name w:val="No Spacing1"/>
    <w:basedOn w:val="1"/>
    <w:qFormat/>
    <w:uiPriority w:val="0"/>
    <w:pPr>
      <w:spacing w:line="400" w:lineRule="exact"/>
    </w:pPr>
    <w:rPr>
      <w:sz w:val="24"/>
    </w:rPr>
  </w:style>
  <w:style w:type="paragraph" w:customStyle="1" w:styleId="52">
    <w:name w:val="样式 首行缩进:  2 字符"/>
    <w:basedOn w:val="1"/>
    <w:qFormat/>
    <w:uiPriority w:val="0"/>
    <w:pPr>
      <w:spacing w:line="360" w:lineRule="auto"/>
      <w:ind w:firstLine="480" w:firstLineChars="200"/>
      <w:jc w:val="left"/>
    </w:pPr>
    <w:rPr>
      <w:rFonts w:ascii="宋体" w:hAnsi="宋体" w:cs="宋体"/>
      <w:color w:val="000000"/>
      <w:sz w:val="24"/>
      <w:szCs w:val="20"/>
    </w:rPr>
  </w:style>
  <w:style w:type="paragraph" w:customStyle="1" w:styleId="53">
    <w:name w:val="Char"/>
    <w:basedOn w:val="1"/>
    <w:qFormat/>
    <w:uiPriority w:val="0"/>
  </w:style>
  <w:style w:type="paragraph" w:customStyle="1" w:styleId="54">
    <w:name w:val="正文缩进1"/>
    <w:basedOn w:val="1"/>
    <w:qFormat/>
    <w:uiPriority w:val="0"/>
    <w:pPr>
      <w:widowControl/>
      <w:ind w:firstLine="420"/>
      <w:jc w:val="left"/>
    </w:pPr>
    <w:rPr>
      <w:kern w:val="0"/>
      <w:szCs w:val="20"/>
    </w:rPr>
  </w:style>
  <w:style w:type="paragraph" w:customStyle="1" w:styleId="55">
    <w:name w:val="列出段落2"/>
    <w:basedOn w:val="1"/>
    <w:qFormat/>
    <w:uiPriority w:val="34"/>
    <w:pPr>
      <w:ind w:firstLine="420" w:firstLineChars="200"/>
    </w:pPr>
  </w:style>
  <w:style w:type="paragraph" w:customStyle="1" w:styleId="56">
    <w:name w:val="plaintext"/>
    <w:basedOn w:val="1"/>
    <w:qFormat/>
    <w:uiPriority w:val="0"/>
    <w:pPr>
      <w:widowControl/>
      <w:spacing w:beforeAutospacing="1" w:afterAutospacing="1"/>
      <w:jc w:val="left"/>
    </w:pPr>
    <w:rPr>
      <w:rFonts w:ascii="宋体" w:hAnsi="宋体" w:cs="宋体"/>
      <w:kern w:val="0"/>
      <w:sz w:val="24"/>
    </w:rPr>
  </w:style>
  <w:style w:type="paragraph" w:customStyle="1" w:styleId="57">
    <w:name w:val="1"/>
    <w:basedOn w:val="1"/>
    <w:qFormat/>
    <w:uiPriority w:val="0"/>
    <w:pPr>
      <w:widowControl/>
      <w:spacing w:beforeAutospacing="1" w:afterAutospacing="1"/>
      <w:jc w:val="left"/>
    </w:pPr>
    <w:rPr>
      <w:rFonts w:ascii="宋体" w:hAnsi="宋体" w:cs="宋体"/>
      <w:kern w:val="0"/>
      <w:sz w:val="24"/>
    </w:rPr>
  </w:style>
  <w:style w:type="paragraph" w:styleId="58">
    <w:name w:val="No Spacing"/>
    <w:qFormat/>
    <w:uiPriority w:val="1"/>
    <w:rPr>
      <w:rFonts w:ascii="Calibri" w:hAnsi="Calibri" w:eastAsia="宋体" w:cs="Times New Roman"/>
      <w:sz w:val="22"/>
      <w:szCs w:val="22"/>
      <w:lang w:val="en-US" w:eastAsia="zh-CN" w:bidi="ar-SA"/>
    </w:rPr>
  </w:style>
  <w:style w:type="paragraph" w:customStyle="1" w:styleId="59">
    <w:name w:val="_Style 2"/>
    <w:basedOn w:val="1"/>
    <w:qFormat/>
    <w:uiPriority w:val="34"/>
    <w:pPr>
      <w:ind w:firstLine="420" w:firstLineChars="200"/>
    </w:pPr>
    <w:rPr>
      <w:rFonts w:ascii="Calibri" w:hAnsi="Calibri"/>
    </w:rPr>
  </w:style>
  <w:style w:type="paragraph" w:customStyle="1" w:styleId="60">
    <w:name w:val="paracharcharcharcharcharcharcharcharchar1charcharcharchar"/>
    <w:basedOn w:val="1"/>
    <w:qFormat/>
    <w:uiPriority w:val="0"/>
    <w:pPr>
      <w:widowControl/>
      <w:spacing w:beforeAutospacing="1" w:afterAutospacing="1"/>
      <w:jc w:val="left"/>
    </w:pPr>
    <w:rPr>
      <w:rFonts w:ascii="宋体" w:hAnsi="宋体" w:cs="宋体"/>
      <w:kern w:val="0"/>
      <w:sz w:val="24"/>
    </w:rPr>
  </w:style>
  <w:style w:type="paragraph" w:customStyle="1" w:styleId="61">
    <w:name w:val="样式2"/>
    <w:basedOn w:val="1"/>
    <w:next w:val="1"/>
    <w:qFormat/>
    <w:uiPriority w:val="0"/>
    <w:pPr>
      <w:spacing w:line="360" w:lineRule="exact"/>
      <w:ind w:left="-107" w:leftChars="-51" w:right="-108" w:firstLine="98" w:firstLineChars="41"/>
      <w:jc w:val="left"/>
    </w:pPr>
    <w:rPr>
      <w:rFonts w:ascii="宋体" w:hAnsi="宋体"/>
    </w:rPr>
  </w:style>
  <w:style w:type="paragraph" w:customStyle="1" w:styleId="62">
    <w:name w:val="Char1"/>
    <w:basedOn w:val="1"/>
    <w:qFormat/>
    <w:uiPriority w:val="0"/>
  </w:style>
  <w:style w:type="paragraph" w:customStyle="1" w:styleId="63">
    <w:name w:val="p16"/>
    <w:basedOn w:val="1"/>
    <w:qFormat/>
    <w:uiPriority w:val="0"/>
    <w:pPr>
      <w:widowControl/>
      <w:spacing w:before="100" w:beforeAutospacing="1" w:after="100" w:afterAutospacing="1"/>
      <w:jc w:val="left"/>
    </w:pPr>
    <w:rPr>
      <w:rFonts w:ascii="宋体" w:hAnsi="宋体" w:cs="宋体"/>
      <w:kern w:val="0"/>
      <w:sz w:val="24"/>
    </w:rPr>
  </w:style>
  <w:style w:type="paragraph" w:customStyle="1" w:styleId="64">
    <w:name w:val="Table Paragraph"/>
    <w:basedOn w:val="1"/>
    <w:qFormat/>
    <w:uiPriority w:val="1"/>
    <w:pPr>
      <w:jc w:val="left"/>
    </w:pPr>
    <w:rPr>
      <w:rFonts w:ascii="宋体" w:hAnsi="宋体" w:cs="宋体"/>
      <w:kern w:val="0"/>
      <w:sz w:val="22"/>
      <w:szCs w:val="22"/>
      <w:lang w:eastAsia="en-US"/>
    </w:rPr>
  </w:style>
  <w:style w:type="paragraph" w:customStyle="1" w:styleId="65">
    <w:name w:val="无间隔1"/>
    <w:basedOn w:val="1"/>
    <w:qFormat/>
    <w:uiPriority w:val="1"/>
    <w:pPr>
      <w:spacing w:line="400" w:lineRule="exact"/>
    </w:pPr>
    <w:rPr>
      <w:sz w:val="24"/>
    </w:rPr>
  </w:style>
  <w:style w:type="paragraph" w:customStyle="1" w:styleId="66">
    <w:name w:val="正文格式"/>
    <w:qFormat/>
    <w:uiPriority w:val="0"/>
    <w:pPr>
      <w:widowControl w:val="0"/>
      <w:spacing w:line="360" w:lineRule="auto"/>
      <w:ind w:left="-2" w:leftChars="-1" w:firstLine="422" w:firstLineChars="200"/>
      <w:jc w:val="both"/>
    </w:pPr>
    <w:rPr>
      <w:rFonts w:ascii="宋体" w:hAnsi="宋体" w:eastAsia="宋体" w:cs="Times New Roman"/>
      <w:b/>
      <w:sz w:val="21"/>
      <w:szCs w:val="21"/>
      <w:u w:val="single"/>
      <w:lang w:val="en-US" w:eastAsia="zh-CN" w:bidi="ar-SA"/>
    </w:rPr>
  </w:style>
  <w:style w:type="paragraph" w:customStyle="1" w:styleId="67">
    <w:name w:val="3"/>
    <w:basedOn w:val="1"/>
    <w:qFormat/>
    <w:uiPriority w:val="0"/>
    <w:pPr>
      <w:widowControl/>
      <w:spacing w:beforeAutospacing="1" w:afterAutospacing="1"/>
      <w:jc w:val="left"/>
    </w:pPr>
    <w:rPr>
      <w:rFonts w:ascii="宋体" w:hAnsi="宋体" w:cs="宋体"/>
      <w:kern w:val="0"/>
      <w:sz w:val="24"/>
    </w:rPr>
  </w:style>
  <w:style w:type="paragraph" w:customStyle="1" w:styleId="68">
    <w:name w:val="列出段落1"/>
    <w:basedOn w:val="1"/>
    <w:qFormat/>
    <w:uiPriority w:val="34"/>
    <w:pPr>
      <w:ind w:firstLine="420" w:firstLineChars="200"/>
    </w:pPr>
  </w:style>
  <w:style w:type="paragraph" w:customStyle="1" w:styleId="69">
    <w:name w:val="列出段落111"/>
    <w:qFormat/>
    <w:uiPriority w:val="34"/>
    <w:pPr>
      <w:ind w:firstLine="420" w:firstLineChars="200"/>
    </w:pPr>
    <w:rPr>
      <w:rFonts w:ascii="Times New Roman" w:hAnsi="Times New Roman" w:eastAsia="宋体" w:cs="Times New Roman"/>
      <w:lang w:val="en-US" w:eastAsia="zh-CN" w:bidi="ar-SA"/>
    </w:rPr>
  </w:style>
  <w:style w:type="paragraph" w:customStyle="1" w:styleId="70">
    <w:name w:val="a0"/>
    <w:basedOn w:val="1"/>
    <w:qFormat/>
    <w:uiPriority w:val="0"/>
    <w:pPr>
      <w:widowControl/>
      <w:spacing w:beforeAutospacing="1" w:afterAutospacing="1"/>
      <w:jc w:val="left"/>
    </w:pPr>
    <w:rPr>
      <w:rFonts w:ascii="宋体" w:hAnsi="宋体" w:cs="宋体"/>
      <w:kern w:val="0"/>
      <w:sz w:val="24"/>
    </w:rPr>
  </w:style>
  <w:style w:type="paragraph" w:customStyle="1" w:styleId="71">
    <w:name w:val="default"/>
    <w:basedOn w:val="1"/>
    <w:qFormat/>
    <w:uiPriority w:val="0"/>
    <w:pPr>
      <w:widowControl/>
      <w:spacing w:beforeAutospacing="1" w:afterAutospacing="1"/>
      <w:jc w:val="left"/>
    </w:pPr>
    <w:rPr>
      <w:rFonts w:ascii="宋体" w:hAnsi="宋体" w:cs="宋体"/>
      <w:kern w:val="0"/>
      <w:sz w:val="24"/>
    </w:rPr>
  </w:style>
  <w:style w:type="paragraph" w:customStyle="1" w:styleId="72">
    <w:name w:val="列出段落11"/>
    <w:basedOn w:val="1"/>
    <w:qFormat/>
    <w:uiPriority w:val="0"/>
    <w:pPr>
      <w:ind w:firstLine="420" w:firstLineChars="200"/>
    </w:pPr>
    <w:rPr>
      <w:rFonts w:ascii="Calibri" w:hAnsi="Calibri"/>
      <w:szCs w:val="22"/>
    </w:rPr>
  </w:style>
  <w:style w:type="character" w:customStyle="1" w:styleId="73">
    <w:name w:val="正文文本 Char"/>
    <w:basedOn w:val="34"/>
    <w:link w:val="4"/>
    <w:qFormat/>
    <w:uiPriority w:val="0"/>
  </w:style>
  <w:style w:type="character" w:customStyle="1" w:styleId="74">
    <w:name w:val="apple-converted-space"/>
    <w:basedOn w:val="34"/>
    <w:qFormat/>
    <w:uiPriority w:val="0"/>
  </w:style>
  <w:style w:type="character" w:customStyle="1" w:styleId="75">
    <w:name w:val="文档结构图 Char"/>
    <w:link w:val="9"/>
    <w:qFormat/>
    <w:uiPriority w:val="0"/>
    <w:rPr>
      <w:rFonts w:ascii="宋体"/>
      <w:kern w:val="2"/>
      <w:sz w:val="18"/>
      <w:szCs w:val="18"/>
    </w:rPr>
  </w:style>
  <w:style w:type="character" w:customStyle="1" w:styleId="76">
    <w:name w:val="不明显强调1"/>
    <w:qFormat/>
    <w:uiPriority w:val="19"/>
    <w:rPr>
      <w:i/>
      <w:iCs/>
      <w:color w:val="7F7F7F"/>
      <w:szCs w:val="24"/>
    </w:rPr>
  </w:style>
  <w:style w:type="character" w:customStyle="1" w:styleId="77">
    <w:name w:val="font71"/>
    <w:qFormat/>
    <w:uiPriority w:val="0"/>
    <w:rPr>
      <w:rFonts w:hint="eastAsia" w:ascii="宋体" w:hAnsi="宋体" w:eastAsia="宋体" w:cs="宋体"/>
      <w:color w:val="000000"/>
      <w:sz w:val="28"/>
      <w:szCs w:val="28"/>
      <w:u w:val="none"/>
    </w:rPr>
  </w:style>
  <w:style w:type="character" w:customStyle="1" w:styleId="78">
    <w:name w:val="font21"/>
    <w:qFormat/>
    <w:uiPriority w:val="0"/>
    <w:rPr>
      <w:rFonts w:hint="default" w:ascii="Calibri" w:hAnsi="Calibri" w:cs="Calibri"/>
      <w:color w:val="000000"/>
      <w:sz w:val="28"/>
      <w:szCs w:val="28"/>
      <w:u w:val="none"/>
    </w:rPr>
  </w:style>
  <w:style w:type="character" w:customStyle="1" w:styleId="79">
    <w:name w:val="17"/>
    <w:qFormat/>
    <w:uiPriority w:val="0"/>
    <w:rPr>
      <w:rFonts w:hint="eastAsia" w:ascii="宋体" w:hAnsi="宋体" w:eastAsia="宋体"/>
      <w:color w:val="000000"/>
    </w:rPr>
  </w:style>
  <w:style w:type="character" w:customStyle="1" w:styleId="80">
    <w:name w:val="font91"/>
    <w:qFormat/>
    <w:uiPriority w:val="0"/>
    <w:rPr>
      <w:rFonts w:hint="eastAsia" w:ascii="宋体" w:hAnsi="宋体" w:eastAsia="宋体" w:cs="宋体"/>
      <w:color w:val="FF0000"/>
      <w:sz w:val="28"/>
      <w:szCs w:val="28"/>
      <w:u w:val="none"/>
    </w:rPr>
  </w:style>
  <w:style w:type="paragraph" w:customStyle="1" w:styleId="81">
    <w:name w:val="p"/>
    <w:basedOn w:val="1"/>
    <w:qFormat/>
    <w:uiPriority w:val="0"/>
    <w:pPr>
      <w:widowControl/>
      <w:spacing w:line="432" w:lineRule="auto"/>
      <w:jc w:val="left"/>
    </w:pPr>
    <w:rPr>
      <w:rFonts w:ascii="宋体" w:hAnsi="宋体" w:cs="宋体"/>
      <w:kern w:val="0"/>
      <w:sz w:val="24"/>
    </w:rPr>
  </w:style>
  <w:style w:type="paragraph" w:customStyle="1" w:styleId="82">
    <w:name w:val="WPSOffice手动目录 1"/>
    <w:qFormat/>
    <w:uiPriority w:val="0"/>
    <w:rPr>
      <w:rFonts w:ascii="Times New Roman" w:hAnsi="Times New Roman" w:eastAsia="宋体" w:cs="Times New Roman"/>
      <w:lang w:val="en-US" w:eastAsia="zh-CN" w:bidi="ar-SA"/>
    </w:rPr>
  </w:style>
  <w:style w:type="paragraph" w:customStyle="1" w:styleId="83">
    <w:name w:val="*正文_1"/>
    <w:basedOn w:val="1"/>
    <w:next w:val="1"/>
    <w:qFormat/>
    <w:uiPriority w:val="0"/>
    <w:pPr>
      <w:widowControl/>
      <w:ind w:firstLine="482"/>
    </w:pPr>
    <w:rPr>
      <w:rFonts w:ascii="微软雅黑" w:hAnsi="微软雅黑" w:eastAsia="微软雅黑"/>
      <w:kern w:val="0"/>
      <w:szCs w:val="20"/>
    </w:rPr>
  </w:style>
  <w:style w:type="paragraph" w:customStyle="1" w:styleId="84">
    <w:name w:val="表格文字"/>
    <w:basedOn w:val="1"/>
    <w:next w:val="4"/>
    <w:qFormat/>
    <w:uiPriority w:val="0"/>
    <w:pPr>
      <w:adjustRightInd w:val="0"/>
      <w:spacing w:line="420" w:lineRule="atLeast"/>
      <w:jc w:val="left"/>
      <w:textAlignment w:val="baseline"/>
    </w:pPr>
    <w:rPr>
      <w:kern w:val="0"/>
      <w:szCs w:val="20"/>
    </w:rPr>
  </w:style>
  <w:style w:type="character" w:customStyle="1" w:styleId="85">
    <w:name w:val="NormalCharacter"/>
    <w:link w:val="1"/>
    <w:semiHidden/>
    <w:qFormat/>
    <w:uiPriority w:val="0"/>
    <w:rPr>
      <w:rFonts w:ascii="Times New Roman" w:hAnsi="Times New Roman" w:eastAsia="宋体" w:cs="Times New Roman"/>
      <w:kern w:val="2"/>
      <w:sz w:val="21"/>
      <w:szCs w:val="24"/>
      <w:lang w:val="en-US" w:eastAsia="zh-CN" w:bidi="ar-SA"/>
    </w:rPr>
  </w:style>
  <w:style w:type="paragraph" w:customStyle="1" w:styleId="86">
    <w:name w:val="列表段落1"/>
    <w:basedOn w:val="1"/>
    <w:qFormat/>
    <w:uiPriority w:val="34"/>
    <w:pPr>
      <w:widowControl/>
      <w:ind w:firstLine="420"/>
      <w:jc w:val="left"/>
    </w:pPr>
    <w:rPr>
      <w:kern w:val="0"/>
    </w:rPr>
  </w:style>
  <w:style w:type="paragraph" w:styleId="87">
    <w:name w:val="List Paragraph"/>
    <w:basedOn w:val="1"/>
    <w:qFormat/>
    <w:uiPriority w:val="34"/>
    <w:pPr>
      <w:ind w:firstLine="420" w:firstLineChars="200"/>
    </w:pPr>
  </w:style>
  <w:style w:type="character" w:customStyle="1" w:styleId="88">
    <w:name w:val="hover18"/>
    <w:basedOn w:val="34"/>
    <w:qFormat/>
    <w:uiPriority w:val="0"/>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C39694-E2D4-4EC7-B4CE-52C55243A652}">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37</Pages>
  <Words>15418</Words>
  <Characters>16160</Characters>
  <Lines>50</Lines>
  <Paragraphs>68</Paragraphs>
  <TotalTime>1</TotalTime>
  <ScaleCrop>false</ScaleCrop>
  <LinksUpToDate>false</LinksUpToDate>
  <CharactersWithSpaces>17023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2012-11-07T02:07:00Z</dcterms:created>
  <dc:creator>微软用户</dc:creator>
  <cp:lastModifiedBy>陈壹</cp:lastModifiedBy>
  <cp:lastPrinted>2021-09-30T00:46:00Z</cp:lastPrinted>
  <dcterms:modified xsi:type="dcterms:W3CDTF">2023-03-17T08:05:29Z</dcterms:modified>
  <dc:title>驻马店市政府采购货物项目</dc:title>
  <cp:revision>1088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562A285641654D2EA086C4325B3B203C</vt:lpwstr>
  </property>
</Properties>
</file>