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2"/>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000000" w:themeColor="text1"/>
          <w:sz w:val="48"/>
          <w:szCs w:val="48"/>
          <w:highlight w:val="none"/>
          <w:lang w:val="en-US" w:eastAsia="zh-CN"/>
          <w14:textFill>
            <w14:solidFill>
              <w14:schemeClr w14:val="tx1"/>
            </w14:solidFill>
          </w14:textFill>
        </w:rPr>
      </w:pPr>
      <w:bookmarkStart w:id="0" w:name="_Toc22953395"/>
      <w:bookmarkEnd w:id="0"/>
      <w:bookmarkStart w:id="1" w:name="_Toc22804073"/>
      <w:bookmarkEnd w:id="1"/>
    </w:p>
    <w:p>
      <w:pPr>
        <w:pStyle w:val="22"/>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000000" w:themeColor="text1"/>
          <w:sz w:val="44"/>
          <w:szCs w:val="44"/>
          <w:highlight w:val="none"/>
          <w:lang w:val="en-US" w:eastAsia="zh-CN"/>
          <w14:textFill>
            <w14:solidFill>
              <w14:schemeClr w14:val="tx1"/>
            </w14:solidFill>
          </w14:textFill>
        </w:rPr>
      </w:pPr>
      <w:r>
        <w:rPr>
          <w:rFonts w:hint="eastAsia" w:cs="宋体"/>
          <w:b/>
          <w:bCs/>
          <w:color w:val="000000" w:themeColor="text1"/>
          <w:sz w:val="44"/>
          <w:szCs w:val="44"/>
          <w:highlight w:val="none"/>
          <w:lang w:val="en-US" w:eastAsia="zh-CN"/>
          <w14:textFill>
            <w14:solidFill>
              <w14:schemeClr w14:val="tx1"/>
            </w14:solidFill>
          </w14:textFill>
        </w:rPr>
        <w:t>驻马店市中心医院中心院区、妇儿院区一次性塑料瓶（袋）集中回收服务采购项目</w:t>
      </w:r>
    </w:p>
    <w:p>
      <w:pPr>
        <w:pStyle w:val="22"/>
        <w:bidi w:val="0"/>
        <w:jc w:val="center"/>
        <w:rPr>
          <w:rStyle w:val="46"/>
          <w:rFonts w:hint="eastAsia" w:ascii="宋体" w:hAnsi="宋体" w:eastAsia="宋体" w:cs="宋体"/>
          <w:b/>
          <w:bCs/>
          <w:color w:val="000000" w:themeColor="text1"/>
          <w:sz w:val="48"/>
          <w:szCs w:val="48"/>
          <w:highlight w:val="none"/>
          <w14:textFill>
            <w14:solidFill>
              <w14:schemeClr w14:val="tx1"/>
            </w14:solidFill>
          </w14:textFill>
        </w:rPr>
      </w:pPr>
    </w:p>
    <w:p>
      <w:pPr>
        <w:pStyle w:val="22"/>
        <w:bidi w:val="0"/>
        <w:jc w:val="center"/>
        <w:rPr>
          <w:rStyle w:val="46"/>
          <w:rFonts w:hint="eastAsia" w:ascii="宋体" w:hAnsi="宋体" w:eastAsia="宋体" w:cs="宋体"/>
          <w:b/>
          <w:bCs/>
          <w:color w:val="000000" w:themeColor="text1"/>
          <w:sz w:val="48"/>
          <w:szCs w:val="48"/>
          <w:highlight w:val="none"/>
          <w14:textFill>
            <w14:solidFill>
              <w14:schemeClr w14:val="tx1"/>
            </w14:solidFill>
          </w14:textFill>
        </w:rPr>
      </w:pPr>
    </w:p>
    <w:p>
      <w:pPr>
        <w:pStyle w:val="22"/>
        <w:bidi w:val="0"/>
        <w:jc w:val="center"/>
        <w:rPr>
          <w:rStyle w:val="46"/>
          <w:rFonts w:hint="eastAsia" w:ascii="宋体" w:hAnsi="宋体" w:eastAsia="宋体" w:cs="宋体"/>
          <w:b/>
          <w:bCs/>
          <w:color w:val="000000" w:themeColor="text1"/>
          <w:sz w:val="48"/>
          <w:szCs w:val="48"/>
          <w:highlight w:val="none"/>
          <w14:textFill>
            <w14:solidFill>
              <w14:schemeClr w14:val="tx1"/>
            </w14:solidFill>
          </w14:textFill>
        </w:rPr>
      </w:pPr>
    </w:p>
    <w:p>
      <w:pPr>
        <w:pStyle w:val="22"/>
        <w:bidi w:val="0"/>
        <w:jc w:val="center"/>
        <w:rPr>
          <w:rStyle w:val="46"/>
          <w:rFonts w:hint="eastAsia" w:ascii="宋体" w:hAnsi="宋体" w:eastAsia="宋体" w:cs="宋体"/>
          <w:b/>
          <w:bCs/>
          <w:color w:val="000000" w:themeColor="text1"/>
          <w:sz w:val="48"/>
          <w:szCs w:val="48"/>
          <w:highlight w:val="none"/>
          <w14:textFill>
            <w14:solidFill>
              <w14:schemeClr w14:val="tx1"/>
            </w14:solidFill>
          </w14:textFill>
        </w:rPr>
      </w:pPr>
    </w:p>
    <w:p>
      <w:pPr>
        <w:pStyle w:val="22"/>
        <w:bidi w:val="0"/>
        <w:jc w:val="center"/>
        <w:rPr>
          <w:rStyle w:val="46"/>
          <w:rFonts w:hint="eastAsia" w:ascii="宋体" w:hAnsi="宋体" w:eastAsia="宋体" w:cs="宋体"/>
          <w:b/>
          <w:bCs/>
          <w:color w:val="000000" w:themeColor="text1"/>
          <w:szCs w:val="44"/>
          <w:highlight w:val="none"/>
          <w14:textFill>
            <w14:solidFill>
              <w14:schemeClr w14:val="tx1"/>
            </w14:solidFill>
          </w14:textFill>
        </w:rPr>
      </w:pPr>
      <w:r>
        <w:rPr>
          <w:rStyle w:val="46"/>
          <w:rFonts w:hint="eastAsia" w:cs="宋体"/>
          <w:b/>
          <w:bCs/>
          <w:color w:val="000000" w:themeColor="text1"/>
          <w:sz w:val="72"/>
          <w:szCs w:val="72"/>
          <w:highlight w:val="none"/>
          <w:lang w:val="en-US" w:eastAsia="zh-CN"/>
          <w14:textFill>
            <w14:solidFill>
              <w14:schemeClr w14:val="tx1"/>
            </w14:solidFill>
          </w14:textFill>
        </w:rPr>
        <w:t>采购</w:t>
      </w:r>
      <w:r>
        <w:rPr>
          <w:rStyle w:val="46"/>
          <w:rFonts w:hint="eastAsia" w:ascii="宋体" w:hAnsi="宋体" w:eastAsia="宋体" w:cs="宋体"/>
          <w:b/>
          <w:bCs/>
          <w:color w:val="000000" w:themeColor="text1"/>
          <w:sz w:val="72"/>
          <w:szCs w:val="72"/>
          <w:highlight w:val="none"/>
          <w14:textFill>
            <w14:solidFill>
              <w14:schemeClr w14:val="tx1"/>
            </w14:solidFill>
          </w14:textFill>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pPr>
        <w:snapToGrid w:val="0"/>
        <w:spacing w:line="38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pPr>
        <w:pStyle w:val="34"/>
        <w:rPr>
          <w:rFonts w:hint="eastAsia"/>
          <w:color w:val="000000" w:themeColor="text1"/>
          <w:highlight w:val="none"/>
          <w14:textFill>
            <w14:solidFill>
              <w14:schemeClr w14:val="tx1"/>
            </w14:solidFill>
          </w14:textFill>
        </w:rPr>
      </w:pPr>
    </w:p>
    <w:p>
      <w:pPr>
        <w:pStyle w:val="61"/>
        <w:rPr>
          <w:rFonts w:hint="eastAsia" w:ascii="宋体" w:hAnsi="宋体" w:eastAsia="宋体" w:cs="宋体"/>
          <w:bCs/>
          <w:color w:val="000000" w:themeColor="text1"/>
          <w:sz w:val="2"/>
          <w:szCs w:val="2"/>
          <w:highlight w:val="none"/>
          <w14:textFill>
            <w14:solidFill>
              <w14:schemeClr w14:val="tx1"/>
            </w14:solidFill>
          </w14:textFill>
        </w:rPr>
      </w:pPr>
    </w:p>
    <w:p>
      <w:pPr>
        <w:rPr>
          <w:rFonts w:hint="eastAsia" w:ascii="宋体" w:hAnsi="宋体" w:eastAsia="宋体" w:cs="宋体"/>
          <w:bCs/>
          <w:color w:val="000000" w:themeColor="text1"/>
          <w:sz w:val="2"/>
          <w:szCs w:val="2"/>
          <w:highlight w:val="none"/>
          <w14:textFill>
            <w14:solidFill>
              <w14:schemeClr w14:val="tx1"/>
            </w14:solidFill>
          </w14:textFill>
        </w:rPr>
      </w:pPr>
    </w:p>
    <w:p>
      <w:pPr>
        <w:spacing w:line="20" w:lineRule="exact"/>
        <w:rPr>
          <w:rFonts w:hint="eastAsia" w:ascii="宋体" w:hAnsi="宋体" w:eastAsia="宋体" w:cs="宋体"/>
          <w:bCs/>
          <w:color w:val="000000" w:themeColor="text1"/>
          <w:sz w:val="2"/>
          <w:szCs w:val="2"/>
          <w:highlight w:val="none"/>
          <w14:textFill>
            <w14:solidFill>
              <w14:schemeClr w14:val="tx1"/>
            </w14:solidFill>
          </w14:textFill>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80"/>
          <w:sz w:val="34"/>
          <w:szCs w:val="34"/>
          <w:highlight w:val="none"/>
          <w14:textFill>
            <w14:solidFill>
              <w14:schemeClr w14:val="tx1"/>
            </w14:solidFill>
          </w14:textFill>
        </w:rPr>
      </w:pPr>
      <w: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t>采 购</w:t>
      </w:r>
      <w:r>
        <w:rPr>
          <w:rFonts w:hint="eastAsia" w:ascii="宋体" w:hAnsi="宋体" w:eastAsia="宋体" w:cs="宋体"/>
          <w:b/>
          <w:bCs/>
          <w:color w:val="000000" w:themeColor="text1"/>
          <w:spacing w:val="-10"/>
          <w:sz w:val="34"/>
          <w:szCs w:val="34"/>
          <w:highlight w:val="none"/>
          <w14:textFill>
            <w14:solidFill>
              <w14:schemeClr w14:val="tx1"/>
            </w14:solidFill>
          </w14:textFill>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000000" w:themeColor="text1"/>
          <w:sz w:val="36"/>
          <w:szCs w:val="36"/>
          <w:highlight w:val="none"/>
          <w14:textFill>
            <w14:solidFill>
              <w14:schemeClr w14:val="tx1"/>
            </w14:solidFill>
          </w14:textFill>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000000" w:themeColor="text1"/>
          <w:spacing w:val="40"/>
          <w:sz w:val="34"/>
          <w:szCs w:val="34"/>
          <w:highlight w:val="none"/>
          <w:lang w:val="en-US" w:eastAsia="zh-CN"/>
          <w14:textFill>
            <w14:solidFill>
              <w14:schemeClr w14:val="tx1"/>
            </w14:solidFill>
          </w14:textFill>
        </w:rPr>
        <w:t>202</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highlight w:val="none"/>
          <w14:textFill>
            <w14:solidFill>
              <w14:schemeClr w14:val="tx1"/>
            </w14:solidFill>
          </w14:textFill>
        </w:rPr>
        <w:t>年</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06</w:t>
      </w:r>
      <w:r>
        <w:rPr>
          <w:rFonts w:hint="eastAsia" w:ascii="宋体" w:hAnsi="宋体" w:eastAsia="宋体" w:cs="宋体"/>
          <w:b/>
          <w:bCs/>
          <w:color w:val="000000" w:themeColor="text1"/>
          <w:spacing w:val="40"/>
          <w:sz w:val="34"/>
          <w:szCs w:val="34"/>
          <w:highlight w:val="none"/>
          <w14:textFill>
            <w14:solidFill>
              <w14:schemeClr w14:val="tx1"/>
            </w14:solidFill>
          </w14:textFill>
        </w:rPr>
        <w:t>月</w:t>
      </w:r>
    </w:p>
    <w:p>
      <w:pPr>
        <w:rPr>
          <w:rFonts w:ascii="宋体" w:hAnsi="宋体"/>
          <w:bCs/>
          <w:color w:val="000000" w:themeColor="text1"/>
          <w:sz w:val="24"/>
          <w:highlight w:val="none"/>
          <w14:textFill>
            <w14:solidFill>
              <w14:schemeClr w14:val="tx1"/>
            </w14:solidFill>
          </w14:textFill>
        </w:rPr>
      </w:pPr>
    </w:p>
    <w:p>
      <w:pPr>
        <w:jc w:val="center"/>
        <w:rPr>
          <w:rFonts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14:textFill>
            <w14:solidFill>
              <w14:schemeClr w14:val="tx1"/>
            </w14:solidFill>
          </w14:textFill>
        </w:rPr>
        <w:t>目录</w:t>
      </w:r>
    </w:p>
    <w:p>
      <w:pPr>
        <w:pStyle w:val="55"/>
        <w:rPr>
          <w:color w:val="000000" w:themeColor="text1"/>
          <w:highlight w:val="none"/>
          <w14:textFill>
            <w14:solidFill>
              <w14:schemeClr w14:val="tx1"/>
            </w14:solidFill>
          </w14:textFill>
        </w:rPr>
      </w:pPr>
    </w:p>
    <w:p>
      <w:pPr>
        <w:pStyle w:val="27"/>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fldChar w:fldCharType="begin"/>
      </w:r>
      <w:r>
        <w:rPr>
          <w:rFonts w:hint="eastAsia" w:ascii="宋体" w:hAnsi="宋体" w:cs="宋体"/>
          <w:b/>
          <w:bCs/>
          <w:color w:val="000000" w:themeColor="text1"/>
          <w:sz w:val="32"/>
          <w:szCs w:val="32"/>
          <w:highlight w:val="none"/>
          <w14:textFill>
            <w14:solidFill>
              <w14:schemeClr w14:val="tx1"/>
            </w14:solidFill>
          </w14:textFill>
        </w:rPr>
        <w:instrText xml:space="preserve">TOC \o "1-1" \h \u </w:instrText>
      </w:r>
      <w:r>
        <w:rPr>
          <w:rFonts w:hint="eastAsia" w:ascii="宋体" w:hAnsi="宋体" w:cs="宋体"/>
          <w:b/>
          <w:bCs/>
          <w:color w:val="000000" w:themeColor="text1"/>
          <w:sz w:val="32"/>
          <w:szCs w:val="32"/>
          <w:highlight w:val="none"/>
          <w14:textFill>
            <w14:solidFill>
              <w14:schemeClr w14:val="tx1"/>
            </w14:solidFill>
          </w14:textFill>
        </w:rPr>
        <w:fldChar w:fldCharType="separate"/>
      </w: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_Toc22821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第一章  </w:t>
      </w:r>
      <w:r>
        <w:rPr>
          <w:rFonts w:hint="eastAsia" w:ascii="宋体" w:hAnsi="宋体"/>
          <w:color w:val="000000" w:themeColor="text1"/>
          <w:szCs w:val="32"/>
          <w:highlight w:val="none"/>
          <w:lang w:val="en-US" w:eastAsia="zh-CN"/>
          <w14:textFill>
            <w14:solidFill>
              <w14:schemeClr w14:val="tx1"/>
            </w14:solidFill>
          </w14:textFill>
        </w:rPr>
        <w:t>竞争性磋商采购</w:t>
      </w:r>
      <w:r>
        <w:rPr>
          <w:rFonts w:hint="eastAsia" w:ascii="宋体" w:hAnsi="宋体"/>
          <w:color w:val="000000" w:themeColor="text1"/>
          <w:szCs w:val="32"/>
          <w:highlight w:val="none"/>
          <w14:textFill>
            <w14:solidFill>
              <w14:schemeClr w14:val="tx1"/>
            </w14:solidFill>
          </w14:textFill>
        </w:rPr>
        <w:t>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pPr>
        <w:pStyle w:val="27"/>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_Toc17552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第二章  </w:t>
      </w:r>
      <w:r>
        <w:rPr>
          <w:rFonts w:hint="eastAsia" w:ascii="宋体" w:hAnsi="宋体"/>
          <w:color w:val="000000" w:themeColor="text1"/>
          <w:szCs w:val="32"/>
          <w:highlight w:val="none"/>
          <w:lang w:eastAsia="zh-CN"/>
          <w14:textFill>
            <w14:solidFill>
              <w14:schemeClr w14:val="tx1"/>
            </w14:solidFill>
          </w14:textFill>
        </w:rPr>
        <w:t>采购</w:t>
      </w:r>
      <w:r>
        <w:rPr>
          <w:rFonts w:hint="eastAsia" w:ascii="宋体" w:hAnsi="宋体"/>
          <w:color w:val="000000" w:themeColor="text1"/>
          <w:szCs w:val="32"/>
          <w:highlight w:val="none"/>
          <w14:textFill>
            <w14:solidFill>
              <w14:schemeClr w14:val="tx1"/>
            </w14:solidFill>
          </w14:textFill>
        </w:rPr>
        <w:t>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_Toc17552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pPr>
        <w:pStyle w:val="27"/>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_Toc16791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bCs/>
          <w:color w:val="000000" w:themeColor="text1"/>
          <w:szCs w:val="32"/>
          <w:highlight w:val="none"/>
          <w14:textFill>
            <w14:solidFill>
              <w14:schemeClr w14:val="tx1"/>
            </w14:solidFill>
          </w14:textFill>
        </w:rPr>
        <w:t xml:space="preserve">第三章  </w:t>
      </w:r>
      <w:r>
        <w:rPr>
          <w:rFonts w:hint="eastAsia"/>
          <w:bCs/>
          <w:color w:val="000000" w:themeColor="text1"/>
          <w:szCs w:val="32"/>
          <w:highlight w:val="none"/>
          <w:lang w:eastAsia="zh-CN"/>
          <w14:textFill>
            <w14:solidFill>
              <w14:schemeClr w14:val="tx1"/>
            </w14:solidFill>
          </w14:textFill>
        </w:rPr>
        <w:t>供应商</w:t>
      </w:r>
      <w:r>
        <w:rPr>
          <w:rFonts w:hint="eastAsia"/>
          <w:bCs/>
          <w:color w:val="000000" w:themeColor="text1"/>
          <w:szCs w:val="32"/>
          <w:highlight w:val="none"/>
          <w14:textFill>
            <w14:solidFill>
              <w14:schemeClr w14:val="tx1"/>
            </w14:solidFill>
          </w14:textFill>
        </w:rPr>
        <w:t>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_Toc16791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pPr>
        <w:pStyle w:val="27"/>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_Toc16473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eastAsia="宋体" w:cs="宋体"/>
          <w:bCs/>
          <w:color w:val="000000" w:themeColor="text1"/>
          <w:kern w:val="0"/>
          <w:szCs w:val="32"/>
          <w:highlight w:val="none"/>
          <w14:textFill>
            <w14:solidFill>
              <w14:schemeClr w14:val="tx1"/>
            </w14:solidFill>
          </w14:textFill>
        </w:rPr>
        <w:t>第四章  评标办法及评分标准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pPr>
        <w:pStyle w:val="27"/>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_Toc1638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第五章  采购合同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pPr>
        <w:pStyle w:val="27"/>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_Toc5963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32"/>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pPr>
        <w:pStyle w:val="84"/>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end"/>
      </w:r>
    </w:p>
    <w:p>
      <w:pPr>
        <w:spacing w:line="440" w:lineRule="exact"/>
        <w:rPr>
          <w:rFonts w:ascii="宋体" w:hAnsi="宋体"/>
          <w:b/>
          <w:color w:val="000000" w:themeColor="text1"/>
          <w:sz w:val="32"/>
          <w:szCs w:val="32"/>
          <w:highlight w:val="none"/>
          <w14:textFill>
            <w14:solidFill>
              <w14:schemeClr w14:val="tx1"/>
            </w14:solidFill>
          </w14:textFill>
        </w:rPr>
      </w:pPr>
    </w:p>
    <w:p>
      <w:pPr>
        <w:spacing w:line="360" w:lineRule="auto"/>
        <w:ind w:firstLine="2409" w:firstLineChars="600"/>
        <w:rPr>
          <w:rFonts w:ascii="宋体" w:hAnsi="宋体"/>
          <w:b/>
          <w:color w:val="000000" w:themeColor="text1"/>
          <w:sz w:val="40"/>
          <w:szCs w:val="40"/>
          <w:highlight w:val="none"/>
          <w14:textFill>
            <w14:solidFill>
              <w14:schemeClr w14:val="tx1"/>
            </w14:solidFill>
          </w14:textFill>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000000" w:themeColor="text1"/>
          <w:sz w:val="32"/>
          <w:szCs w:val="32"/>
          <w:highlight w:val="none"/>
          <w14:textFill>
            <w14:solidFill>
              <w14:schemeClr w14:val="tx1"/>
            </w14:solidFill>
          </w14:textFill>
        </w:rPr>
      </w:pPr>
      <w:bookmarkStart w:id="2" w:name="_Toc22821"/>
      <w:r>
        <w:rPr>
          <w:rFonts w:hint="eastAsia" w:ascii="宋体" w:hAnsi="宋体"/>
          <w:b/>
          <w:color w:val="000000" w:themeColor="text1"/>
          <w:sz w:val="32"/>
          <w:szCs w:val="32"/>
          <w:highlight w:val="none"/>
          <w14:textFill>
            <w14:solidFill>
              <w14:schemeClr w14:val="tx1"/>
            </w14:solidFill>
          </w14:textFill>
        </w:rPr>
        <w:t xml:space="preserve">第一章  </w:t>
      </w:r>
      <w:r>
        <w:rPr>
          <w:rFonts w:hint="eastAsia" w:ascii="宋体" w:hAnsi="宋体"/>
          <w:b/>
          <w:color w:val="000000" w:themeColor="text1"/>
          <w:sz w:val="32"/>
          <w:szCs w:val="32"/>
          <w:highlight w:val="none"/>
          <w:lang w:val="en-US" w:eastAsia="zh-CN"/>
          <w14:textFill>
            <w14:solidFill>
              <w14:schemeClr w14:val="tx1"/>
            </w14:solidFill>
          </w14:textFill>
        </w:rPr>
        <w:t>竞争性磋商采购</w:t>
      </w:r>
      <w:r>
        <w:rPr>
          <w:rFonts w:hint="eastAsia" w:ascii="宋体" w:hAnsi="宋体"/>
          <w:b/>
          <w:color w:val="000000" w:themeColor="text1"/>
          <w:sz w:val="32"/>
          <w:szCs w:val="32"/>
          <w:highlight w:val="none"/>
          <w14:textFill>
            <w14:solidFill>
              <w14:schemeClr w14:val="tx1"/>
            </w14:solidFill>
          </w14:textFill>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000000" w:themeColor="text1"/>
          <w:kern w:val="0"/>
          <w:sz w:val="28"/>
          <w:szCs w:val="28"/>
          <w:highlight w:val="none"/>
          <w14:textFill>
            <w14:solidFill>
              <w14:schemeClr w14:val="tx1"/>
            </w14:solidFill>
          </w14:textFill>
        </w:rPr>
      </w:pPr>
      <w:r>
        <w:rPr>
          <w:rFonts w:hint="eastAsia" w:ascii="宋体" w:hAnsi="宋体" w:cs="宋体"/>
          <w:b/>
          <w:bCs w:val="0"/>
          <w:color w:val="000000" w:themeColor="text1"/>
          <w:kern w:val="0"/>
          <w:sz w:val="28"/>
          <w:szCs w:val="28"/>
          <w:highlight w:val="none"/>
          <w:u w:val="none"/>
          <w:lang w:val="en-US" w:eastAsia="zh-CN"/>
          <w14:textFill>
            <w14:solidFill>
              <w14:schemeClr w14:val="tx1"/>
            </w14:solidFill>
          </w14:textFill>
        </w:rPr>
        <w:t>驻马店市中心医院中心院区、妇儿院区一次性塑料瓶（袋）集中回收服务采购项目</w:t>
      </w:r>
      <w:r>
        <w:rPr>
          <w:rFonts w:hint="eastAsia" w:ascii="宋体" w:hAnsi="宋体" w:eastAsia="宋体" w:cs="宋体"/>
          <w:b/>
          <w:bCs w:val="0"/>
          <w:color w:val="000000" w:themeColor="text1"/>
          <w:kern w:val="0"/>
          <w:sz w:val="28"/>
          <w:szCs w:val="28"/>
          <w:highlight w:val="none"/>
          <w:u w:val="none"/>
          <w:lang w:val="en-US" w:eastAsia="zh-CN"/>
          <w14:textFill>
            <w14:solidFill>
              <w14:schemeClr w14:val="tx1"/>
            </w14:solidFill>
          </w14:textFill>
        </w:rPr>
        <w:t>竞争性磋商</w:t>
      </w:r>
      <w:r>
        <w:rPr>
          <w:rFonts w:hint="eastAsia" w:ascii="宋体" w:hAnsi="宋体" w:eastAsia="宋体" w:cs="宋体"/>
          <w:b/>
          <w:bCs w:val="0"/>
          <w:color w:val="000000" w:themeColor="text1"/>
          <w:kern w:val="0"/>
          <w:sz w:val="28"/>
          <w:szCs w:val="28"/>
          <w:highlight w:val="none"/>
          <w14:textFill>
            <w14:solidFill>
              <w14:schemeClr w14:val="tx1"/>
            </w14:solidFill>
          </w14:textFill>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lang w:eastAsia="zh-CN"/>
        </w:rPr>
        <w:t>中心院区、妇儿院区一次性塑料瓶（袋）集中回收服务采购项目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中心院区、妇儿院区一次性塑料瓶（袋）集中回收服务采购项目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29.1万元（9.7万元/年）；</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：三年</w:t>
      </w:r>
      <w:r>
        <w:rPr>
          <w:rFonts w:hint="eastAsia" w:ascii="宋体" w:hAnsi="宋体" w:cs="宋体"/>
          <w:color w:val="auto"/>
          <w:szCs w:val="21"/>
          <w:highlight w:val="none"/>
          <w:shd w:val="clear" w:color="auto" w:fill="FFFFFF"/>
          <w:lang w:val="en-US" w:eastAsia="zh-CN"/>
        </w:rPr>
        <w:t>（合同期限为一年，合同到期后，经甲方同意可续签一年，最多可续签二年</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、质量要求：符合国家现行规定的质量标准和技术要求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16639"/>
      <w:bookmarkStart w:id="6" w:name="_Toc23626"/>
      <w:bookmarkStart w:id="7" w:name="_Toc2770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bookmarkStart w:id="8" w:name="_Toc7823"/>
      <w:bookmarkStart w:id="9" w:name="_Toc9562"/>
      <w:bookmarkStart w:id="10" w:name="_Toc30643"/>
      <w:bookmarkStart w:id="11" w:name="_Toc30971"/>
      <w:bookmarkStart w:id="12" w:name="_Toc23395"/>
      <w:r>
        <w:rPr>
          <w:rFonts w:hint="eastAsia" w:ascii="宋体" w:hAnsi="宋体" w:eastAsia="宋体" w:cs="宋体"/>
          <w:color w:val="000000"/>
          <w:kern w:val="2"/>
          <w:sz w:val="21"/>
          <w:szCs w:val="24"/>
          <w:lang w:val="en-US" w:eastAsia="zh-CN" w:bidi="ar-SA"/>
        </w:rPr>
        <w:t>1、供应商应为注册在中华人民共和国境内的，且具有独立承担民事责任能力，提供营业执照等证明文件。</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2、供应商应提供2022年度</w:t>
      </w:r>
      <w:r>
        <w:rPr>
          <w:rFonts w:hint="eastAsia" w:cs="宋体"/>
          <w:color w:val="000000"/>
          <w:kern w:val="2"/>
          <w:sz w:val="21"/>
          <w:szCs w:val="24"/>
          <w:lang w:val="en-US" w:eastAsia="zh-CN" w:bidi="ar-SA"/>
        </w:rPr>
        <w:t>或2023年度</w:t>
      </w:r>
      <w:r>
        <w:rPr>
          <w:rFonts w:hint="eastAsia" w:ascii="宋体" w:hAnsi="宋体" w:eastAsia="宋体" w:cs="宋体"/>
          <w:color w:val="000000"/>
          <w:kern w:val="2"/>
          <w:sz w:val="21"/>
          <w:szCs w:val="24"/>
          <w:lang w:val="en-US" w:eastAsia="zh-CN" w:bidi="ar-SA"/>
        </w:rPr>
        <w:t>经审计的财务报告或者其基本开户银行出具的资信证明；采购活动近</w:t>
      </w:r>
      <w:r>
        <w:rPr>
          <w:rFonts w:hint="eastAsia" w:cs="宋体"/>
          <w:color w:val="000000"/>
          <w:kern w:val="2"/>
          <w:sz w:val="21"/>
          <w:szCs w:val="24"/>
          <w:lang w:val="en-US" w:eastAsia="zh-CN" w:bidi="ar-SA"/>
        </w:rPr>
        <w:t>六</w:t>
      </w:r>
      <w:r>
        <w:rPr>
          <w:rFonts w:hint="eastAsia" w:ascii="宋体" w:hAnsi="宋体" w:eastAsia="宋体" w:cs="宋体"/>
          <w:color w:val="000000"/>
          <w:kern w:val="2"/>
          <w:sz w:val="21"/>
          <w:szCs w:val="24"/>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3、具有履行合同所必需的设备和专业技术能力（提供书面声明函）；</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4、参加本采购活动前三年内，在经营活动中没有重大违法记录（提供书面声明函）；</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5、符合法律、行政法规规定的其他条件；</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6</w:t>
      </w:r>
      <w:r>
        <w:rPr>
          <w:rFonts w:hint="eastAsia" w:ascii="宋体" w:hAnsi="宋体" w:eastAsia="宋体" w:cs="宋体"/>
          <w:color w:val="000000"/>
          <w:kern w:val="2"/>
          <w:sz w:val="21"/>
          <w:szCs w:val="24"/>
          <w:lang w:val="en-US" w:eastAsia="zh-CN" w:bidi="ar-SA"/>
        </w:rPr>
        <w:t>、供应商需具有市场监管部门和商务部门颁发的《再生资源回收经营者备案登记证明》</w:t>
      </w:r>
      <w:r>
        <w:rPr>
          <w:rFonts w:hint="eastAsia" w:cs="宋体"/>
          <w:color w:val="000000"/>
          <w:spacing w:val="68"/>
          <w:kern w:val="2"/>
          <w:sz w:val="21"/>
          <w:szCs w:val="24"/>
          <w:lang w:val="en-US" w:eastAsia="zh-CN" w:bidi="ar-SA"/>
        </w:rPr>
        <w:t>；</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7、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000000"/>
          <w:kern w:val="2"/>
          <w:sz w:val="21"/>
          <w:szCs w:val="24"/>
          <w:lang w:val="en-US" w:eastAsia="zh-CN" w:bidi="ar-SA"/>
        </w:rPr>
        <w:t>；</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8、</w:t>
      </w:r>
      <w:r>
        <w:rPr>
          <w:rFonts w:hint="eastAsia" w:ascii="宋体" w:hAnsi="宋体" w:eastAsia="宋体" w:cs="宋体"/>
          <w:color w:val="000000"/>
          <w:kern w:val="2"/>
          <w:sz w:val="21"/>
          <w:szCs w:val="24"/>
          <w:lang w:val="en-US" w:eastAsia="zh-CN" w:bidi="ar-SA"/>
        </w:rPr>
        <w:t>单位负责人为同一人或者存在直接控股、管理关系的不同供应商，不得参加同一合同项下的投标（提供书面声明函）。一经发现，将导致投标同时被拒绝</w:t>
      </w:r>
      <w:r>
        <w:rPr>
          <w:rFonts w:hint="eastAsia" w:cs="宋体"/>
          <w:color w:val="000000"/>
          <w:kern w:val="2"/>
          <w:sz w:val="21"/>
          <w:szCs w:val="24"/>
          <w:lang w:val="en-US" w:eastAsia="zh-CN" w:bidi="ar-SA"/>
        </w:rPr>
        <w:t>。</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9、</w:t>
      </w:r>
      <w:r>
        <w:rPr>
          <w:rFonts w:hint="eastAsia" w:ascii="宋体" w:hAnsi="宋体" w:eastAsia="宋体" w:cs="宋体"/>
          <w:color w:val="000000"/>
          <w:kern w:val="2"/>
          <w:sz w:val="21"/>
          <w:szCs w:val="24"/>
          <w:lang w:val="en-US" w:eastAsia="zh-CN" w:bidi="ar-SA"/>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auto"/>
          <w:szCs w:val="21"/>
          <w:highlight w:val="yellow"/>
          <w:shd w:val="clear" w:color="auto" w:fill="FFFFFF"/>
        </w:rPr>
        <w:t>20</w:t>
      </w:r>
      <w:r>
        <w:rPr>
          <w:rFonts w:hint="eastAsia" w:ascii="宋体" w:hAnsi="宋体" w:cs="宋体"/>
          <w:color w:val="auto"/>
          <w:szCs w:val="21"/>
          <w:highlight w:val="yellow"/>
          <w:shd w:val="clear" w:color="auto" w:fill="FFFFFF"/>
          <w:lang w:val="en-US" w:eastAsia="zh-CN"/>
        </w:rPr>
        <w:t>24</w:t>
      </w:r>
      <w:r>
        <w:rPr>
          <w:rFonts w:hint="eastAsia" w:ascii="宋体" w:hAnsi="宋体" w:eastAsia="宋体" w:cs="宋体"/>
          <w:color w:val="auto"/>
          <w:szCs w:val="21"/>
          <w:highlight w:val="yellow"/>
          <w:shd w:val="clear" w:color="auto" w:fill="FFFFFF"/>
        </w:rPr>
        <w:t>年</w:t>
      </w:r>
      <w:r>
        <w:rPr>
          <w:rFonts w:hint="eastAsia" w:ascii="宋体" w:hAnsi="宋体" w:cs="宋体"/>
          <w:color w:val="auto"/>
          <w:szCs w:val="21"/>
          <w:highlight w:val="yellow"/>
          <w:shd w:val="clear" w:color="auto" w:fill="FFFFFF"/>
          <w:lang w:val="en-US" w:eastAsia="zh-CN"/>
        </w:rPr>
        <w:t>6</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24</w:t>
      </w:r>
      <w:r>
        <w:rPr>
          <w:rFonts w:hint="eastAsia" w:ascii="宋体" w:hAnsi="宋体" w:eastAsia="宋体" w:cs="宋体"/>
          <w:color w:val="auto"/>
          <w:szCs w:val="21"/>
          <w:highlight w:val="yellow"/>
          <w:shd w:val="clear" w:color="auto" w:fill="FFFFFF"/>
        </w:rPr>
        <w:t>日-202</w:t>
      </w:r>
      <w:r>
        <w:rPr>
          <w:rFonts w:hint="eastAsia" w:ascii="宋体" w:hAnsi="宋体" w:cs="宋体"/>
          <w:color w:val="auto"/>
          <w:szCs w:val="21"/>
          <w:highlight w:val="yellow"/>
          <w:shd w:val="clear" w:color="auto" w:fill="FFFFFF"/>
          <w:lang w:val="en-US" w:eastAsia="zh-CN"/>
        </w:rPr>
        <w:t>4</w:t>
      </w:r>
      <w:r>
        <w:rPr>
          <w:rFonts w:hint="eastAsia" w:ascii="宋体" w:hAnsi="宋体" w:eastAsia="宋体" w:cs="宋体"/>
          <w:color w:val="auto"/>
          <w:szCs w:val="21"/>
          <w:highlight w:val="yellow"/>
          <w:shd w:val="clear" w:color="auto" w:fill="FFFFFF"/>
        </w:rPr>
        <w:t>年</w:t>
      </w:r>
      <w:r>
        <w:rPr>
          <w:rFonts w:hint="eastAsia" w:ascii="宋体" w:hAnsi="宋体" w:cs="宋体"/>
          <w:color w:val="auto"/>
          <w:szCs w:val="21"/>
          <w:highlight w:val="yellow"/>
          <w:shd w:val="clear" w:color="auto" w:fill="FFFFFF"/>
          <w:lang w:val="en-US" w:eastAsia="zh-CN"/>
        </w:rPr>
        <w:t>6</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26</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2521227903@qq.com</w:t>
      </w:r>
      <w:r>
        <w:rPr>
          <w:rFonts w:hint="eastAsia" w:ascii="宋体" w:hAnsi="宋体" w:cs="宋体"/>
          <w:color w:val="auto"/>
          <w:kern w:val="0"/>
          <w:sz w:val="21"/>
          <w:szCs w:val="21"/>
          <w:shd w:val="clear" w:color="auto" w:fill="FFFFFF"/>
          <w:lang w:val="en-US" w:eastAsia="zh-CN" w:bidi="ar-SA"/>
        </w:rPr>
        <w:t>,</w:t>
      </w:r>
      <w:r>
        <w:rPr>
          <w:rFonts w:hint="eastAsia" w:ascii="宋体" w:hAnsi="宋体" w:eastAsia="宋体" w:cs="宋体"/>
          <w:color w:val="auto"/>
          <w:kern w:val="0"/>
          <w:sz w:val="21"/>
          <w:szCs w:val="21"/>
          <w:shd w:val="clear" w:color="auto" w:fill="FFFFFF"/>
          <w:lang w:val="en-US" w:eastAsia="zh-CN" w:bidi="ar-SA"/>
        </w:rPr>
        <w:t>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25869"/>
      <w:bookmarkStart w:id="14" w:name="_Toc15111"/>
      <w:bookmarkStart w:id="15" w:name="_Toc10738"/>
      <w:bookmarkStart w:id="16" w:name="_Toc27480"/>
      <w:bookmarkStart w:id="17" w:name="_Toc15135"/>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9784"/>
      <w:bookmarkStart w:id="19" w:name="_Toc20287"/>
      <w:bookmarkStart w:id="20" w:name="_Toc6523"/>
      <w:bookmarkStart w:id="21" w:name="_Toc30918"/>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16291"/>
      <w:bookmarkStart w:id="25" w:name="_Toc24274"/>
      <w:bookmarkStart w:id="26" w:name="_Toc31928"/>
      <w:bookmarkStart w:id="27" w:name="_Toc27370"/>
      <w:bookmarkStart w:id="28" w:name="_Toc360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1.采购人：驻马店市中心医院</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地址：驻马店市中华大道747号</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2.名称：河南金鼎建设管理有限公司 </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地址：驻马店市天中山大道北段 </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联系人：杨先生 </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联系方式：19139503257</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3.监督部门：驻马店市中心医院纪检监察室</w:t>
      </w:r>
    </w:p>
    <w:p>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pPr>
        <w:pStyle w:val="34"/>
        <w:rPr>
          <w:rFonts w:hint="eastAsia"/>
          <w:highlight w:val="yellow"/>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32"/>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cs="宋体"/>
          <w:color w:val="auto"/>
          <w:kern w:val="0"/>
          <w:sz w:val="21"/>
          <w:szCs w:val="21"/>
          <w:highlight w:val="yellow"/>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 xml:space="preserve"> 6</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21</w:t>
      </w:r>
      <w:bookmarkStart w:id="95" w:name="_GoBack"/>
      <w:bookmarkEnd w:id="95"/>
      <w:r>
        <w:rPr>
          <w:rFonts w:hint="eastAsia" w:ascii="宋体" w:hAnsi="宋体" w:cs="宋体"/>
          <w:color w:val="auto"/>
          <w:kern w:val="0"/>
          <w:sz w:val="21"/>
          <w:szCs w:val="21"/>
          <w:highlight w:val="yellow"/>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日</w:t>
      </w:r>
    </w:p>
    <w:p>
      <w:pPr>
        <w:pStyle w:val="32"/>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p>
    <w:p>
      <w:pPr>
        <w:pStyle w:val="32"/>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p>
    <w:p>
      <w:pPr>
        <w:pStyle w:val="32"/>
        <w:widowControl/>
        <w:snapToGrid w:val="0"/>
        <w:spacing w:before="0" w:beforeAutospacing="0" w:after="0" w:afterAutospacing="0" w:line="360" w:lineRule="auto"/>
        <w:ind w:firstLine="420" w:firstLineChars="200"/>
        <w:rPr>
          <w:rFonts w:ascii="宋体" w:hAnsi="宋体" w:cs="宋体"/>
          <w:color w:val="000000" w:themeColor="text1"/>
          <w:sz w:val="21"/>
          <w:szCs w:val="21"/>
          <w:highlight w:val="none"/>
          <w:shd w:val="clear" w:color="auto" w:fill="FFFFFF"/>
          <w14:textFill>
            <w14:solidFill>
              <w14:schemeClr w14:val="tx1"/>
            </w14:solidFill>
          </w14:textFill>
        </w:rPr>
      </w:pPr>
    </w:p>
    <w:p>
      <w:pPr>
        <w:rPr>
          <w:rFonts w:hint="eastAsia" w:ascii="宋体" w:hAnsi="宋体"/>
          <w:b/>
          <w:color w:val="000000" w:themeColor="text1"/>
          <w:sz w:val="32"/>
          <w:szCs w:val="32"/>
          <w:highlight w:val="none"/>
          <w14:textFill>
            <w14:solidFill>
              <w14:schemeClr w14:val="tx1"/>
            </w14:solidFill>
          </w14:textFill>
        </w:rPr>
      </w:pPr>
      <w:bookmarkStart w:id="29" w:name="_Toc23793"/>
      <w:bookmarkStart w:id="30" w:name="_Toc29890"/>
      <w:r>
        <w:rPr>
          <w:rFonts w:hint="eastAsia" w:ascii="宋体" w:hAnsi="宋体"/>
          <w:b/>
          <w:color w:val="000000" w:themeColor="text1"/>
          <w:sz w:val="32"/>
          <w:szCs w:val="32"/>
          <w:highlight w:val="none"/>
          <w14:textFill>
            <w14:solidFill>
              <w14:schemeClr w14:val="tx1"/>
            </w14:solidFill>
          </w14:textFill>
        </w:rPr>
        <w:br w:type="page"/>
      </w:r>
    </w:p>
    <w:p>
      <w:pPr>
        <w:widowControl/>
        <w:spacing w:line="360" w:lineRule="auto"/>
        <w:ind w:firstLine="643" w:firstLineChars="200"/>
        <w:jc w:val="center"/>
        <w:outlineLvl w:val="0"/>
        <w:rPr>
          <w:rFonts w:ascii="宋体" w:hAnsi="宋体"/>
          <w:b/>
          <w:color w:val="000000" w:themeColor="text1"/>
          <w:sz w:val="32"/>
          <w:szCs w:val="32"/>
          <w:highlight w:val="none"/>
          <w14:textFill>
            <w14:solidFill>
              <w14:schemeClr w14:val="tx1"/>
            </w14:solidFill>
          </w14:textFill>
        </w:rPr>
      </w:pPr>
      <w:bookmarkStart w:id="31" w:name="_Toc17552"/>
      <w:r>
        <w:rPr>
          <w:rFonts w:hint="eastAsia" w:ascii="宋体" w:hAnsi="宋体"/>
          <w:b/>
          <w:color w:val="000000" w:themeColor="text1"/>
          <w:sz w:val="32"/>
          <w:szCs w:val="32"/>
          <w:highlight w:val="none"/>
          <w14:textFill>
            <w14:solidFill>
              <w14:schemeClr w14:val="tx1"/>
            </w14:solidFill>
          </w14:textFill>
        </w:rPr>
        <w:t xml:space="preserve">第二章  </w:t>
      </w:r>
      <w:r>
        <w:rPr>
          <w:rFonts w:hint="eastAsia" w:ascii="宋体" w:hAnsi="宋体"/>
          <w:b/>
          <w:color w:val="000000" w:themeColor="text1"/>
          <w:sz w:val="32"/>
          <w:szCs w:val="32"/>
          <w:highlight w:val="none"/>
          <w:lang w:eastAsia="zh-CN"/>
          <w14:textFill>
            <w14:solidFill>
              <w14:schemeClr w14:val="tx1"/>
            </w14:solidFill>
          </w14:textFill>
        </w:rPr>
        <w:t>采购</w:t>
      </w:r>
      <w:r>
        <w:rPr>
          <w:rFonts w:hint="eastAsia" w:ascii="宋体" w:hAnsi="宋体"/>
          <w:b/>
          <w:color w:val="000000" w:themeColor="text1"/>
          <w:sz w:val="32"/>
          <w:szCs w:val="32"/>
          <w:highlight w:val="none"/>
          <w14:textFill>
            <w14:solidFill>
              <w14:schemeClr w14:val="tx1"/>
            </w14:solidFill>
          </w14:textFill>
        </w:rPr>
        <w:t>需求</w:t>
      </w:r>
      <w:bookmarkEnd w:id="31"/>
      <w:bookmarkStart w:id="32" w:name="_Toc31536"/>
      <w:bookmarkStart w:id="33" w:name="_Toc9989"/>
      <w:bookmarkStart w:id="34" w:name="_Toc23610"/>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t>一、项目名称：</w:t>
      </w:r>
      <w:r>
        <w:rPr>
          <w:rFonts w:hint="eastAsia" w:ascii="宋体" w:hAnsi="宋体" w:cs="宋体"/>
          <w:b w:val="0"/>
          <w:bCs w:val="0"/>
          <w:i w:val="0"/>
          <w:iCs/>
          <w:color w:val="000000" w:themeColor="text1"/>
          <w:sz w:val="21"/>
          <w:szCs w:val="21"/>
          <w:highlight w:val="none"/>
          <w:u w:val="none"/>
          <w:lang w:val="en-US" w:eastAsia="zh-CN"/>
          <w14:textFill>
            <w14:solidFill>
              <w14:schemeClr w14:val="tx1"/>
            </w14:solidFill>
          </w14:textFill>
        </w:rPr>
        <w:t>中心院区、妇儿院区一次性塑料瓶（袋）集中回收服务采购项目</w:t>
      </w:r>
    </w:p>
    <w:p>
      <w:pPr>
        <w:pStyle w:val="17"/>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color w:val="000000" w:themeColor="text1"/>
          <w:kern w:val="2"/>
          <w:sz w:val="21"/>
          <w:szCs w:val="24"/>
          <w:highlight w:val="none"/>
          <w:lang w:val="en-US" w:eastAsia="zh-CN" w:bidi="ar-SA"/>
          <w14:textFill>
            <w14:solidFill>
              <w14:schemeClr w14:val="tx1"/>
            </w14:solidFill>
          </w14:textFill>
        </w:rPr>
      </w:pPr>
      <w:r>
        <w:rPr>
          <w:rFonts w:hint="eastAsia" w:cs="宋体"/>
          <w:b/>
          <w:bCs/>
          <w:color w:val="000000" w:themeColor="text1"/>
          <w:kern w:val="2"/>
          <w:sz w:val="21"/>
          <w:szCs w:val="24"/>
          <w:highlight w:val="none"/>
          <w:lang w:val="en-US" w:eastAsia="zh-CN" w:bidi="ar-SA"/>
          <w14:textFill>
            <w14:solidFill>
              <w14:schemeClr w14:val="tx1"/>
            </w14:solidFill>
          </w14:textFill>
        </w:rPr>
        <w:t>二、采购标的清单：</w:t>
      </w:r>
    </w:p>
    <w:tbl>
      <w:tblPr>
        <w:tblStyle w:val="36"/>
        <w:tblW w:w="9376" w:type="dxa"/>
        <w:tblInd w:w="-2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82"/>
        <w:gridCol w:w="2471"/>
        <w:gridCol w:w="953"/>
        <w:gridCol w:w="971"/>
        <w:gridCol w:w="1235"/>
        <w:gridCol w:w="1041"/>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包号</w:t>
            </w:r>
          </w:p>
        </w:tc>
        <w:tc>
          <w:tcPr>
            <w:tcW w:w="882"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序号</w:t>
            </w:r>
          </w:p>
        </w:tc>
        <w:tc>
          <w:tcPr>
            <w:tcW w:w="2471"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标的名称</w:t>
            </w:r>
          </w:p>
        </w:tc>
        <w:tc>
          <w:tcPr>
            <w:tcW w:w="953"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单位</w:t>
            </w:r>
          </w:p>
        </w:tc>
        <w:tc>
          <w:tcPr>
            <w:tcW w:w="971"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数量</w:t>
            </w:r>
          </w:p>
        </w:tc>
        <w:tc>
          <w:tcPr>
            <w:tcW w:w="1235"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预算</w:t>
            </w:r>
          </w:p>
        </w:tc>
        <w:tc>
          <w:tcPr>
            <w:tcW w:w="1041"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资金</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性质</w:t>
            </w:r>
          </w:p>
        </w:tc>
        <w:tc>
          <w:tcPr>
            <w:tcW w:w="1029" w:type="dxa"/>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国产/</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247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中心院区一次性塑料瓶（袋）集中回收服务</w:t>
            </w:r>
          </w:p>
        </w:tc>
        <w:tc>
          <w:tcPr>
            <w:tcW w:w="95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年</w:t>
            </w:r>
          </w:p>
        </w:tc>
        <w:tc>
          <w:tcPr>
            <w:tcW w:w="97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23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20.1万</w:t>
            </w:r>
          </w:p>
        </w:tc>
        <w:tc>
          <w:tcPr>
            <w:tcW w:w="10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自筹</w:t>
            </w:r>
          </w:p>
        </w:tc>
        <w:tc>
          <w:tcPr>
            <w:tcW w:w="10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247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妇儿院区一次性塑料瓶（袋）集中回收服务</w:t>
            </w:r>
          </w:p>
        </w:tc>
        <w:tc>
          <w:tcPr>
            <w:tcW w:w="95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年</w:t>
            </w:r>
          </w:p>
        </w:tc>
        <w:tc>
          <w:tcPr>
            <w:tcW w:w="97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23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9万</w:t>
            </w:r>
          </w:p>
        </w:tc>
        <w:tc>
          <w:tcPr>
            <w:tcW w:w="10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自筹</w:t>
            </w:r>
          </w:p>
        </w:tc>
        <w:tc>
          <w:tcPr>
            <w:tcW w:w="10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6"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合计</w:t>
            </w:r>
          </w:p>
        </w:tc>
        <w:tc>
          <w:tcPr>
            <w:tcW w:w="247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p>
        </w:tc>
        <w:tc>
          <w:tcPr>
            <w:tcW w:w="95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p>
        </w:tc>
        <w:tc>
          <w:tcPr>
            <w:tcW w:w="97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p>
        </w:tc>
        <w:tc>
          <w:tcPr>
            <w:tcW w:w="123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29.1万</w:t>
            </w:r>
          </w:p>
        </w:tc>
        <w:tc>
          <w:tcPr>
            <w:tcW w:w="10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p>
        </w:tc>
        <w:tc>
          <w:tcPr>
            <w:tcW w:w="10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1676"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备注</w:t>
            </w:r>
          </w:p>
        </w:tc>
        <w:tc>
          <w:tcPr>
            <w:tcW w:w="7700"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left"/>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sz w:val="21"/>
                <w:szCs w:val="21"/>
                <w:lang w:val="en-US" w:eastAsia="zh-CN"/>
              </w:rPr>
              <w:t>服务期限：三年（合同期限为一年，合同到期后，经甲方同意可续签一年，最多可续签二年。）</w:t>
            </w:r>
          </w:p>
        </w:tc>
      </w:tr>
    </w:tbl>
    <w:p>
      <w:pPr>
        <w:pStyle w:val="26"/>
        <w:tabs>
          <w:tab w:val="left" w:pos="568"/>
        </w:tabs>
        <w:spacing w:line="240" w:lineRule="auto"/>
        <w:jc w:val="both"/>
        <w:rPr>
          <w:rFonts w:hint="eastAsia" w:ascii="宋体" w:hAnsi="宋体" w:eastAsia="宋体" w:cs="宋体"/>
          <w:b/>
          <w:bCs/>
          <w:color w:val="000000" w:themeColor="text1"/>
          <w:spacing w:val="28"/>
          <w:sz w:val="21"/>
          <w:szCs w:val="21"/>
          <w:highlight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三、技术要求：</w:t>
      </w:r>
    </w:p>
    <w:p>
      <w:pPr>
        <w:keepNext w:val="0"/>
        <w:keepLines w:val="0"/>
        <w:pageBreakBefore w:val="0"/>
        <w:widowControl w:val="0"/>
        <w:kinsoku/>
        <w:wordWrap/>
        <w:overflowPunct/>
        <w:topLinePunct w:val="0"/>
        <w:autoSpaceDE/>
        <w:autoSpaceDN/>
        <w:bidi w:val="0"/>
        <w:adjustRightInd/>
        <w:snapToGrid w:val="0"/>
        <w:spacing w:line="360" w:lineRule="auto"/>
        <w:ind w:firstLine="562" w:firstLineChars="200"/>
        <w:jc w:val="center"/>
        <w:textAlignment w:val="auto"/>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一次性塑料瓶（袋）集中回收采购需求</w:t>
      </w:r>
    </w:p>
    <w:p>
      <w:pPr>
        <w:keepNext w:val="0"/>
        <w:keepLines w:val="0"/>
        <w:pageBreakBefore w:val="0"/>
        <w:widowControl w:val="0"/>
        <w:kinsoku/>
        <w:wordWrap/>
        <w:overflowPunct/>
        <w:topLinePunct w:val="0"/>
        <w:autoSpaceDE/>
        <w:autoSpaceDN/>
        <w:bidi w:val="0"/>
        <w:adjustRightInd/>
        <w:snapToGrid w:val="0"/>
        <w:spacing w:line="360" w:lineRule="auto"/>
        <w:ind w:firstLine="464" w:firstLineChars="200"/>
        <w:textAlignment w:val="auto"/>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1、免费提供编织袋、暂存桶、回收交接登记本；回收人员统一着装，严格执行称重、双签字手续，使用专人专车运送，确保回收物不丢失、不人为转卖。</w:t>
      </w:r>
    </w:p>
    <w:p>
      <w:pPr>
        <w:keepNext w:val="0"/>
        <w:keepLines w:val="0"/>
        <w:pageBreakBefore w:val="0"/>
        <w:widowControl w:val="0"/>
        <w:kinsoku/>
        <w:wordWrap/>
        <w:overflowPunct/>
        <w:topLinePunct w:val="0"/>
        <w:autoSpaceDE/>
        <w:autoSpaceDN/>
        <w:bidi w:val="0"/>
        <w:adjustRightInd/>
        <w:snapToGrid w:val="0"/>
        <w:spacing w:line="360" w:lineRule="auto"/>
        <w:ind w:firstLine="464" w:firstLineChars="200"/>
        <w:textAlignment w:val="auto"/>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2、每天必须到科室回收一次，回收后保持科室场地清洁。如遇有医院检查或科室过多时，根据医院电话通知，调整回收次数和时间。</w:t>
      </w:r>
    </w:p>
    <w:p>
      <w:pPr>
        <w:keepNext w:val="0"/>
        <w:keepLines w:val="0"/>
        <w:pageBreakBefore w:val="0"/>
        <w:widowControl w:val="0"/>
        <w:kinsoku/>
        <w:wordWrap/>
        <w:overflowPunct/>
        <w:topLinePunct w:val="0"/>
        <w:autoSpaceDE/>
        <w:autoSpaceDN/>
        <w:bidi w:val="0"/>
        <w:adjustRightInd/>
        <w:snapToGrid w:val="0"/>
        <w:spacing w:line="360" w:lineRule="auto"/>
        <w:ind w:firstLine="464" w:firstLineChars="200"/>
        <w:textAlignment w:val="auto"/>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 xml:space="preserve">3、负责回收一次性塑料输液瓶（袋）的运输工具及运输安全，必须按照相关卫生法规、程序、标准和医院感控要求对回收一次性塑料输液瓶（袋）进行运输和无害化处置，严禁丢失、污染环境、违法转卖等。     </w:t>
      </w:r>
    </w:p>
    <w:p>
      <w:pPr>
        <w:keepNext w:val="0"/>
        <w:keepLines w:val="0"/>
        <w:pageBreakBefore w:val="0"/>
        <w:widowControl w:val="0"/>
        <w:kinsoku/>
        <w:wordWrap/>
        <w:overflowPunct/>
        <w:topLinePunct w:val="0"/>
        <w:autoSpaceDE/>
        <w:autoSpaceDN/>
        <w:bidi w:val="0"/>
        <w:adjustRightInd/>
        <w:snapToGrid w:val="0"/>
        <w:spacing w:line="360" w:lineRule="auto"/>
        <w:ind w:firstLine="464" w:firstLineChars="200"/>
        <w:textAlignment w:val="auto"/>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4、须提供环境保护部门对医用玻璃瓶，使用后未被污染输液瓶(袋)等废塑料回收处理单位的环评审批报告及有效的排污许可证；</w:t>
      </w:r>
    </w:p>
    <w:p>
      <w:pPr>
        <w:keepNext w:val="0"/>
        <w:keepLines w:val="0"/>
        <w:pageBreakBefore w:val="0"/>
        <w:widowControl w:val="0"/>
        <w:kinsoku/>
        <w:wordWrap/>
        <w:overflowPunct/>
        <w:topLinePunct w:val="0"/>
        <w:autoSpaceDE/>
        <w:autoSpaceDN/>
        <w:bidi w:val="0"/>
        <w:adjustRightInd/>
        <w:snapToGrid w:val="0"/>
        <w:spacing w:line="360" w:lineRule="auto"/>
        <w:ind w:firstLine="464" w:firstLineChars="200"/>
        <w:textAlignment w:val="auto"/>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5、投标人应具备履约所需的回收、运输、处理等的专业能力，制度健全，回收的使用后未被污染塑料瓶不得用于医疗、食品、药品、化妆品、玩具、洗涤等包装或服装、被褥、日用品等可能危害人体健康的行业中，回收废物运输、处理、再生利用溯源机制完善，服务期间能正常运营；（投标人须对以上内容提供承诺函）；</w:t>
      </w:r>
    </w:p>
    <w:p>
      <w:pPr>
        <w:keepNext w:val="0"/>
        <w:keepLines w:val="0"/>
        <w:pageBreakBefore w:val="0"/>
        <w:widowControl w:val="0"/>
        <w:kinsoku/>
        <w:wordWrap/>
        <w:overflowPunct/>
        <w:topLinePunct w:val="0"/>
        <w:autoSpaceDE/>
        <w:autoSpaceDN/>
        <w:bidi w:val="0"/>
        <w:adjustRightInd/>
        <w:snapToGrid w:val="0"/>
        <w:spacing w:line="360" w:lineRule="auto"/>
        <w:ind w:firstLine="464" w:firstLineChars="200"/>
        <w:textAlignment w:val="auto"/>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6、投标人须具备满足本项目回收的经营场所(须提供图片、自有产证或租赁合同相关证明材料）；</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   </w:t>
      </w:r>
      <w:r>
        <w:rPr>
          <w:rFonts w:hint="eastAsia"/>
          <w:color w:val="000000" w:themeColor="text1"/>
          <w:highlight w:val="none"/>
          <w:lang w:val="en-US" w:eastAsia="zh-CN"/>
          <w14:textFill>
            <w14:solidFill>
              <w14:schemeClr w14:val="tx1"/>
            </w14:solidFill>
          </w14:textFill>
        </w:rPr>
        <w:br w:type="page"/>
      </w:r>
    </w:p>
    <w:p>
      <w:pPr>
        <w:pStyle w:val="26"/>
        <w:rPr>
          <w:rFonts w:hint="eastAsia"/>
          <w:color w:val="000000" w:themeColor="text1"/>
          <w:highlight w:val="none"/>
          <w:lang w:val="en-US" w:eastAsia="zh-CN"/>
          <w14:textFill>
            <w14:solidFill>
              <w14:schemeClr w14:val="tx1"/>
            </w14:solidFill>
          </w14:textFill>
        </w:rPr>
      </w:pPr>
    </w:p>
    <w:p>
      <w:pPr>
        <w:pStyle w:val="17"/>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商务要求</w:t>
      </w:r>
    </w:p>
    <w:tbl>
      <w:tblPr>
        <w:tblStyle w:val="35"/>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自</w:t>
            </w:r>
            <w:r>
              <w:rPr>
                <w:rFonts w:hint="eastAsia" w:cs="宋体"/>
                <w:color w:val="000000" w:themeColor="text1"/>
                <w:sz w:val="21"/>
                <w:szCs w:val="21"/>
                <w:highlight w:val="none"/>
                <w:lang w:val="en-US" w:eastAsia="zh-CN"/>
                <w14:textFill>
                  <w14:solidFill>
                    <w14:schemeClr w14:val="tx1"/>
                  </w14:solidFill>
                </w14:textFill>
              </w:rPr>
              <w:t>成交通知书</w:t>
            </w:r>
            <w:r>
              <w:rPr>
                <w:rFonts w:hint="eastAsia" w:ascii="宋体" w:hAnsi="宋体" w:eastAsia="宋体" w:cs="宋体"/>
                <w:color w:val="000000" w:themeColor="text1"/>
                <w:sz w:val="21"/>
                <w:szCs w:val="21"/>
                <w:highlight w:val="none"/>
                <w:lang w:val="en-US" w:eastAsia="zh-CN"/>
                <w14:textFill>
                  <w14:solidFill>
                    <w14:schemeClr w14:val="tx1"/>
                  </w14:solidFill>
                </w14:textFill>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left"/>
              <w:rPr>
                <w:rFonts w:hint="default" w:ascii="宋体" w:hAnsi="宋体" w:cs="宋体"/>
                <w:color w:val="000000" w:themeColor="text1"/>
                <w:kern w:val="2"/>
                <w:sz w:val="21"/>
                <w:szCs w:val="24"/>
                <w:highlight w:val="none"/>
                <w:lang w:val="en-US" w:eastAsia="zh-CN" w:bidi="ar-SA"/>
                <w14:textFill>
                  <w14:solidFill>
                    <w14:schemeClr w14:val="tx1"/>
                  </w14:solidFill>
                </w14:textFill>
              </w:rPr>
            </w:pPr>
            <w:r>
              <w:rPr>
                <w:rFonts w:hint="default" w:ascii="宋体" w:hAnsi="宋体" w:cs="宋体"/>
                <w:color w:val="000000" w:themeColor="text1"/>
                <w:kern w:val="2"/>
                <w:sz w:val="21"/>
                <w:szCs w:val="24"/>
                <w:highlight w:val="none"/>
                <w:lang w:val="en-US" w:eastAsia="zh-CN" w:bidi="ar-SA"/>
                <w14:textFill>
                  <w14:solidFill>
                    <w14:schemeClr w14:val="tx1"/>
                  </w14:solidFill>
                </w14:textFill>
              </w:rPr>
              <w:t>三年（合同期限为一年，合同到期后，经甲方同意可续签一年，最多可续签二年。）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符合国家现行规定的质量标准和技术要求。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7"/>
              <w:spacing w:line="360" w:lineRule="auto"/>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由成交供应商按采购人的要求按时支付，具体</w:t>
            </w:r>
            <w:r>
              <w:rPr>
                <w:rFonts w:hint="eastAsia" w:ascii="宋体" w:hAnsi="宋体" w:eastAsia="宋体" w:cs="宋体"/>
                <w:color w:val="000000" w:themeColor="text1"/>
                <w:sz w:val="21"/>
                <w:szCs w:val="21"/>
                <w:highlight w:val="none"/>
                <w:lang w:val="en-US" w:eastAsia="zh-CN"/>
                <w14:textFill>
                  <w14:solidFill>
                    <w14:schemeClr w14:val="tx1"/>
                  </w14:solidFill>
                </w14:textFill>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7"/>
              <w:ind w:left="0" w:leftChars="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免费为医院开通符合环保部门规范要求的物联网端口。</w:t>
            </w:r>
          </w:p>
        </w:tc>
      </w:tr>
    </w:tbl>
    <w:p>
      <w:pPr>
        <w:pStyle w:val="26"/>
        <w:rPr>
          <w:rFonts w:hint="eastAsia"/>
          <w:color w:val="000000" w:themeColor="text1"/>
          <w:highlight w:val="none"/>
          <w14:textFill>
            <w14:solidFill>
              <w14:schemeClr w14:val="tx1"/>
            </w14:solidFill>
          </w14:textFill>
        </w:rPr>
      </w:pPr>
    </w:p>
    <w:p>
      <w:pPr>
        <w:pStyle w:val="26"/>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采购人对项目的特殊要求及说明</w:t>
      </w:r>
    </w:p>
    <w:tbl>
      <w:tblPr>
        <w:tblStyle w:val="35"/>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不接受联合体投标，不允许转包和分包。</w:t>
            </w:r>
          </w:p>
          <w:p>
            <w:pPr>
              <w:widowControl/>
              <w:snapToGrid w:val="0"/>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2、授权</w:t>
            </w:r>
            <w:r>
              <w:rPr>
                <w:rFonts w:hint="eastAsia" w:cs="Times New Roman"/>
                <w:color w:val="000000" w:themeColor="text1"/>
                <w:highlight w:val="none"/>
                <w:lang w:val="en-US" w:eastAsia="zh-CN"/>
                <w14:textFill>
                  <w14:solidFill>
                    <w14:schemeClr w14:val="tx1"/>
                  </w14:solidFill>
                </w14:textFill>
              </w:rPr>
              <w:t>磋商小组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确定一名</w:t>
            </w:r>
            <w:r>
              <w:rPr>
                <w:rFonts w:hint="eastAsia" w:cs="Times New Roman"/>
                <w:color w:val="000000" w:themeColor="text1"/>
                <w:highlight w:val="none"/>
                <w:lang w:val="en-US" w:eastAsia="zh-CN"/>
                <w14:textFill>
                  <w14:solidFill>
                    <w14:schemeClr w14:val="tx1"/>
                  </w14:solidFill>
                </w14:textFill>
              </w:rPr>
              <w:t>成交人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并推荐</w:t>
            </w:r>
            <w:r>
              <w:rPr>
                <w:rFonts w:hint="eastAsia" w:cs="Times New Roman"/>
                <w:color w:val="000000" w:themeColor="text1"/>
                <w:highlight w:val="none"/>
                <w:lang w:val="en-US" w:eastAsia="zh-CN"/>
                <w14:textFill>
                  <w14:solidFill>
                    <w14:schemeClr w14:val="tx1"/>
                  </w14:solidFill>
                </w14:textFill>
              </w:rPr>
              <w:t>一</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名</w:t>
            </w:r>
            <w:r>
              <w:rPr>
                <w:rFonts w:hint="eastAsia" w:cs="Times New Roman"/>
                <w:color w:val="000000" w:themeColor="text1"/>
                <w:highlight w:val="none"/>
                <w:lang w:val="en-US" w:eastAsia="zh-CN"/>
                <w14:textFill>
                  <w14:solidFill>
                    <w14:schemeClr w14:val="tx1"/>
                  </w14:solidFill>
                </w14:textFill>
              </w:rPr>
              <w:t>成交候选人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pPr>
              <w:widowControl/>
              <w:snapToGrid w:val="0"/>
              <w:spacing w:line="360" w:lineRule="auto"/>
              <w:rPr>
                <w:rFonts w:hint="default" w:eastAsia="宋体"/>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3、供应商应根据采购文件的要求提供技术响应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、商务响应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等内容以对采购文件作出响应。</w:t>
            </w:r>
          </w:p>
        </w:tc>
      </w:tr>
    </w:tbl>
    <w:p>
      <w:pPr>
        <w:rPr>
          <w:color w:val="000000" w:themeColor="text1"/>
          <w:highlight w:val="none"/>
          <w14:textFill>
            <w14:solidFill>
              <w14:schemeClr w14:val="tx1"/>
            </w14:solidFill>
          </w14:textFill>
        </w:rPr>
      </w:pPr>
    </w:p>
    <w:p>
      <w:pPr>
        <w:jc w:val="center"/>
        <w:rPr>
          <w:rFonts w:hint="eastAsia"/>
          <w:b/>
          <w:bCs/>
          <w:color w:val="000000" w:themeColor="text1"/>
          <w:sz w:val="32"/>
          <w:szCs w:val="32"/>
          <w:highlight w:val="none"/>
          <w14:textFill>
            <w14:solidFill>
              <w14:schemeClr w14:val="tx1"/>
            </w14:solidFill>
          </w14:textFill>
        </w:rPr>
      </w:pPr>
    </w:p>
    <w:p>
      <w:pPr>
        <w:rPr>
          <w:rFonts w:hint="eastAsia"/>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br w:type="page"/>
      </w:r>
    </w:p>
    <w:p>
      <w:pPr>
        <w:jc w:val="center"/>
        <w:outlineLvl w:val="0"/>
        <w:rPr>
          <w:b/>
          <w:bCs/>
          <w:color w:val="000000" w:themeColor="text1"/>
          <w:sz w:val="32"/>
          <w:szCs w:val="32"/>
          <w:highlight w:val="none"/>
          <w14:textFill>
            <w14:solidFill>
              <w14:schemeClr w14:val="tx1"/>
            </w14:solidFill>
          </w14:textFill>
        </w:rPr>
      </w:pPr>
      <w:bookmarkStart w:id="35" w:name="_Toc16791"/>
      <w:r>
        <w:rPr>
          <w:rFonts w:hint="eastAsia"/>
          <w:b/>
          <w:bCs/>
          <w:color w:val="000000" w:themeColor="text1"/>
          <w:sz w:val="32"/>
          <w:szCs w:val="32"/>
          <w:highlight w:val="none"/>
          <w14:textFill>
            <w14:solidFill>
              <w14:schemeClr w14:val="tx1"/>
            </w14:solidFill>
          </w14:textFill>
        </w:rPr>
        <w:t xml:space="preserve">第三章  </w:t>
      </w:r>
      <w:r>
        <w:rPr>
          <w:rFonts w:hint="eastAsia"/>
          <w:b/>
          <w:bCs/>
          <w:color w:val="000000" w:themeColor="text1"/>
          <w:sz w:val="32"/>
          <w:szCs w:val="32"/>
          <w:highlight w:val="none"/>
          <w:lang w:eastAsia="zh-CN"/>
          <w14:textFill>
            <w14:solidFill>
              <w14:schemeClr w14:val="tx1"/>
            </w14:solidFill>
          </w14:textFill>
        </w:rPr>
        <w:t>供应商</w:t>
      </w:r>
      <w:r>
        <w:rPr>
          <w:rFonts w:hint="eastAsia"/>
          <w:b/>
          <w:bCs/>
          <w:color w:val="000000" w:themeColor="text1"/>
          <w:sz w:val="32"/>
          <w:szCs w:val="32"/>
          <w:highlight w:val="none"/>
          <w14:textFill>
            <w14:solidFill>
              <w14:schemeClr w14:val="tx1"/>
            </w14:solidFill>
          </w14:textFill>
        </w:rPr>
        <w:t>须知</w:t>
      </w:r>
      <w:bookmarkEnd w:id="35"/>
    </w:p>
    <w:p>
      <w:pPr>
        <w:snapToGrid w:val="0"/>
        <w:spacing w:beforeLines="50" w:line="360" w:lineRule="auto"/>
        <w:jc w:val="center"/>
        <w:outlineLvl w:val="1"/>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eastAsia="zh-CN"/>
          <w14:textFill>
            <w14:solidFill>
              <w14:schemeClr w14:val="tx1"/>
            </w14:solidFill>
          </w14:textFill>
        </w:rPr>
        <w:t>供应商</w:t>
      </w:r>
      <w:r>
        <w:rPr>
          <w:rFonts w:hint="eastAsia" w:ascii="宋体" w:hAnsi="宋体"/>
          <w:color w:val="000000" w:themeColor="text1"/>
          <w:sz w:val="28"/>
          <w:szCs w:val="28"/>
          <w:highlight w:val="none"/>
          <w14:textFill>
            <w14:solidFill>
              <w14:schemeClr w14:val="tx1"/>
            </w14:solidFill>
          </w14:textFill>
        </w:rPr>
        <w:t>须知前附表</w:t>
      </w:r>
    </w:p>
    <w:tbl>
      <w:tblPr>
        <w:tblStyle w:val="35"/>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default" w:ascii="宋体" w:hAnsi="宋体" w:eastAsia="宋体" w:cs="宋体"/>
                <w:color w:val="000000" w:themeColor="text1"/>
                <w:highlight w:val="none"/>
                <w:lang w:val="en-US"/>
                <w14:textFill>
                  <w14:solidFill>
                    <w14:schemeClr w14:val="tx1"/>
                  </w14:solidFill>
                </w14:textFill>
              </w:rPr>
            </w:pPr>
            <w:bookmarkStart w:id="36" w:name="_Toc30169"/>
            <w:r>
              <w:rPr>
                <w:rFonts w:hint="eastAsia"/>
                <w:color w:val="000000" w:themeColor="text1"/>
                <w:highlight w:val="none"/>
                <w14:textFill>
                  <w14:solidFill>
                    <w14:schemeClr w14:val="tx1"/>
                  </w14:solidFill>
                </w14:textFill>
              </w:rPr>
              <w:t>1.1 项目名称：</w:t>
            </w:r>
            <w:bookmarkEnd w:id="36"/>
            <w:r>
              <w:rPr>
                <w:rFonts w:hint="eastAsia"/>
                <w:color w:val="000000" w:themeColor="text1"/>
                <w:highlight w:val="none"/>
                <w:lang w:val="en-US" w:eastAsia="zh-CN"/>
                <w14:textFill>
                  <w14:solidFill>
                    <w14:schemeClr w14:val="tx1"/>
                  </w14:solidFill>
                </w14:textFill>
              </w:rPr>
              <w:t>驻马店市中心医院中心院区、妇儿院区一次性塑料瓶（袋）集中回收服务采购项目</w:t>
            </w:r>
          </w:p>
          <w:p>
            <w:pPr>
              <w:widowControl/>
              <w:snapToGrid w:val="0"/>
              <w:spacing w:line="440" w:lineRule="exact"/>
              <w:jc w:val="left"/>
              <w:outlineLvl w:val="0"/>
              <w:rPr>
                <w:rFonts w:hint="eastAsia"/>
                <w:color w:val="000000" w:themeColor="text1"/>
                <w:highlight w:val="none"/>
                <w14:textFill>
                  <w14:solidFill>
                    <w14:schemeClr w14:val="tx1"/>
                  </w14:solidFill>
                </w14:textFill>
              </w:rPr>
            </w:pPr>
            <w:bookmarkStart w:id="37" w:name="_Toc23424"/>
            <w:r>
              <w:rPr>
                <w:rFonts w:hint="eastAsia"/>
                <w:color w:val="000000" w:themeColor="text1"/>
                <w:highlight w:val="none"/>
                <w14:textFill>
                  <w14:solidFill>
                    <w14:schemeClr w14:val="tx1"/>
                  </w14:solidFill>
                </w14:textFill>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bookmarkStart w:id="38" w:name="_Toc3148"/>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采购范围：详</w:t>
            </w:r>
            <w:r>
              <w:rPr>
                <w:rFonts w:hint="eastAsia"/>
                <w:color w:val="000000" w:themeColor="text1"/>
                <w:highlight w:val="none"/>
                <w:lang w:val="en-US" w:eastAsia="zh-CN"/>
                <w14:textFill>
                  <w14:solidFill>
                    <w14:schemeClr w14:val="tx1"/>
                  </w14:solidFill>
                </w14:textFill>
              </w:rPr>
              <w:t>见第二章采购</w:t>
            </w:r>
            <w:r>
              <w:rPr>
                <w:rFonts w:hint="eastAsia"/>
                <w:color w:val="000000" w:themeColor="text1"/>
                <w:highlight w:val="none"/>
                <w14:textFill>
                  <w14:solidFill>
                    <w14:schemeClr w14:val="tx1"/>
                  </w14:solidFill>
                </w14:textFill>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合格</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采购预算：</w:t>
            </w:r>
            <w:r>
              <w:rPr>
                <w:rFonts w:hint="eastAsia" w:ascii="宋体" w:hAnsi="宋体" w:cs="宋体"/>
                <w:color w:val="000000" w:themeColor="text1"/>
                <w:kern w:val="0"/>
                <w:szCs w:val="21"/>
                <w:highlight w:val="none"/>
                <w:lang w:val="en-US" w:eastAsia="zh-CN"/>
                <w14:textFill>
                  <w14:solidFill>
                    <w14:schemeClr w14:val="tx1"/>
                  </w14:solidFill>
                </w14:textFill>
              </w:rPr>
              <w:t>29.1万元</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；最低投标限价:9.7万元/年</w:t>
            </w:r>
            <w:r>
              <w:rPr>
                <w:rFonts w:hint="eastAsia" w:ascii="宋体" w:hAnsi="宋体" w:cs="宋体"/>
                <w:color w:val="000000" w:themeColor="text1"/>
                <w:kern w:val="0"/>
                <w:szCs w:val="21"/>
                <w:highlight w:val="none"/>
                <w:lang w:eastAsia="zh-CN"/>
                <w14:textFill>
                  <w14:solidFill>
                    <w14:schemeClr w14:val="tx1"/>
                  </w14:solidFill>
                </w14:textFill>
              </w:rPr>
              <w:t>；</w:t>
            </w:r>
          </w:p>
          <w:p>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3.1 本项目投标以人民币报价。</w:t>
            </w:r>
          </w:p>
          <w:p>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3.2 </w:t>
            </w:r>
            <w:r>
              <w:rPr>
                <w:rFonts w:hint="eastAsia" w:ascii="宋体" w:hAnsi="宋体" w:cs="宋体"/>
                <w:color w:val="000000" w:themeColor="text1"/>
                <w:kern w:val="0"/>
                <w:szCs w:val="21"/>
                <w:highlight w:val="none"/>
                <w:lang w:val="en-US" w:eastAsia="zh-CN"/>
                <w14:textFill>
                  <w14:solidFill>
                    <w14:schemeClr w14:val="tx1"/>
                  </w14:solidFill>
                </w14:textFill>
              </w:rPr>
              <w:t>报价次数≥2轮（含磋商响应文件中的报价），</w:t>
            </w:r>
            <w:r>
              <w:rPr>
                <w:rFonts w:hint="eastAsia" w:ascii="宋体" w:hAnsi="宋体" w:cs="宋体"/>
                <w:color w:val="000000" w:themeColor="text1"/>
                <w:kern w:val="0"/>
                <w:szCs w:val="21"/>
                <w:highlight w:val="none"/>
                <w14:textFill>
                  <w14:solidFill>
                    <w14:schemeClr w14:val="tx1"/>
                  </w14:solidFill>
                </w14:textFill>
              </w:rPr>
              <w:t>后一轮报价不得</w:t>
            </w:r>
            <w:r>
              <w:rPr>
                <w:rFonts w:hint="eastAsia" w:ascii="宋体" w:hAnsi="宋体" w:cs="宋体"/>
                <w:color w:val="000000" w:themeColor="text1"/>
                <w:kern w:val="0"/>
                <w:szCs w:val="21"/>
                <w:highlight w:val="none"/>
                <w:lang w:val="en-US" w:eastAsia="zh-CN"/>
                <w14:textFill>
                  <w14:solidFill>
                    <w14:schemeClr w14:val="tx1"/>
                  </w14:solidFill>
                </w14:textFill>
              </w:rPr>
              <w:t>低于</w:t>
            </w:r>
            <w:r>
              <w:rPr>
                <w:rFonts w:hint="eastAsia" w:ascii="宋体" w:hAnsi="宋体" w:cs="宋体"/>
                <w:color w:val="000000" w:themeColor="text1"/>
                <w:kern w:val="0"/>
                <w:szCs w:val="21"/>
                <w:highlight w:val="none"/>
                <w14:textFill>
                  <w14:solidFill>
                    <w14:schemeClr w14:val="tx1"/>
                  </w14:solidFill>
                </w14:textFill>
              </w:rPr>
              <w:t>前一轮的报价。</w:t>
            </w:r>
          </w:p>
          <w:p>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3.3 本项目</w:t>
            </w:r>
            <w:r>
              <w:rPr>
                <w:rFonts w:hint="eastAsia" w:ascii="宋体" w:hAnsi="宋体" w:cs="宋体"/>
                <w:color w:val="000000" w:themeColor="text1"/>
                <w:kern w:val="0"/>
                <w:szCs w:val="21"/>
                <w:highlight w:val="none"/>
                <w:lang w:val="en-US" w:eastAsia="zh-CN"/>
                <w14:textFill>
                  <w14:solidFill>
                    <w14:schemeClr w14:val="tx1"/>
                  </w14:solidFill>
                </w14:textFill>
              </w:rPr>
              <w:t>由成交供应商缴纳</w:t>
            </w:r>
            <w:r>
              <w:rPr>
                <w:rFonts w:hint="eastAsia" w:ascii="宋体" w:hAnsi="宋体" w:cs="宋体"/>
                <w:color w:val="000000" w:themeColor="text1"/>
                <w:kern w:val="0"/>
                <w:szCs w:val="21"/>
                <w:highlight w:val="none"/>
                <w14:textFill>
                  <w14:solidFill>
                    <w14:schemeClr w14:val="tx1"/>
                  </w14:solidFill>
                </w14:textFill>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投标文件组成</w:t>
            </w:r>
            <w:r>
              <w:rPr>
                <w:rFonts w:hint="eastAsia" w:ascii="宋体" w:hAnsi="宋体" w:eastAsia="宋体" w:cs="宋体"/>
                <w:color w:val="000000" w:themeColor="text1"/>
                <w:highlight w:val="none"/>
                <w14:textFill>
                  <w14:solidFill>
                    <w14:schemeClr w14:val="tx1"/>
                  </w14:solidFill>
                </w14:textFill>
              </w:rPr>
              <w:t>：纸质投标文件正本1份</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副本2份</w:t>
            </w:r>
            <w:r>
              <w:rPr>
                <w:rFonts w:hint="eastAsia" w:ascii="宋体" w:hAnsi="宋体" w:eastAsia="宋体" w:cs="宋体"/>
                <w:color w:val="000000" w:themeColor="text1"/>
                <w:highlight w:val="none"/>
                <w14:textFill>
                  <w14:solidFill>
                    <w14:schemeClr w14:val="tx1"/>
                  </w14:solidFill>
                </w14:textFill>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投标截止时间</w:t>
            </w:r>
            <w:r>
              <w:rPr>
                <w:rFonts w:hint="eastAsia" w:ascii="宋体" w:hAnsi="宋体" w:cs="宋体"/>
                <w:color w:val="000000" w:themeColor="text1"/>
                <w:kern w:val="0"/>
                <w:szCs w:val="21"/>
                <w:highlight w:val="none"/>
                <w:lang w:val="en-US" w:eastAsia="zh-CN"/>
                <w14:textFill>
                  <w14:solidFill>
                    <w14:schemeClr w14:val="tx1"/>
                  </w14:solidFill>
                </w14:textFill>
              </w:rPr>
              <w:t>及开标时间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p>
          <w:p>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投标文件递交地点</w:t>
            </w:r>
            <w:r>
              <w:rPr>
                <w:rFonts w:hint="eastAsia" w:ascii="宋体" w:hAnsi="宋体" w:cs="宋体"/>
                <w:color w:val="000000" w:themeColor="text1"/>
                <w:kern w:val="0"/>
                <w:szCs w:val="21"/>
                <w:highlight w:val="none"/>
                <w:lang w:val="en-US" w:eastAsia="zh-CN"/>
                <w14:textFill>
                  <w14:solidFill>
                    <w14:schemeClr w14:val="tx1"/>
                  </w14:solidFill>
                </w14:textFill>
              </w:rPr>
              <w:t>及开标地点</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r>
              <w:rPr>
                <w:rFonts w:hint="eastAsia" w:ascii="宋体" w:hAnsi="宋体" w:cs="宋体"/>
                <w:color w:val="000000" w:themeColor="text1"/>
                <w:kern w:val="0"/>
                <w:szCs w:val="21"/>
                <w:highlight w:val="none"/>
                <w14:textFill>
                  <w14:solidFill>
                    <w14:schemeClr w14:val="tx1"/>
                  </w14:solidFill>
                </w14:textFill>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w:t>
            </w:r>
            <w:r>
              <w:rPr>
                <w:rFonts w:hint="eastAsia" w:ascii="宋体" w:hAnsi="宋体" w:cs="宋体"/>
                <w:color w:val="000000" w:themeColor="text1"/>
                <w:kern w:val="0"/>
                <w:szCs w:val="21"/>
                <w:highlight w:val="none"/>
                <w14:textFill>
                  <w14:solidFill>
                    <w14:schemeClr w14:val="tx1"/>
                  </w14:solidFill>
                </w14:textFill>
              </w:rPr>
              <w:t>员：</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人</w:t>
            </w:r>
            <w:r>
              <w:rPr>
                <w:rFonts w:hint="eastAsia" w:ascii="宋体" w:hAnsi="宋体" w:cs="宋体"/>
                <w:color w:val="000000" w:themeColor="text1"/>
                <w:highlight w:val="none"/>
                <w:lang w:val="en-US" w:eastAsia="zh-CN"/>
                <w14:textFill>
                  <w14:solidFill>
                    <w14:schemeClr w14:val="tx1"/>
                  </w14:solidFill>
                </w14:textFill>
              </w:rPr>
              <w:t>及以上单数</w:t>
            </w:r>
            <w:r>
              <w:rPr>
                <w:rFonts w:hint="eastAsia" w:ascii="宋体" w:hAnsi="宋体" w:cs="宋体"/>
                <w:color w:val="000000" w:themeColor="text1"/>
                <w:kern w:val="0"/>
                <w:szCs w:val="21"/>
                <w:highlight w:val="none"/>
                <w14:textFill>
                  <w14:solidFill>
                    <w14:schemeClr w14:val="tx1"/>
                  </w14:solidFill>
                </w14:textFill>
              </w:rPr>
              <w:t>。</w:t>
            </w:r>
          </w:p>
          <w:p>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专家确定方式：</w:t>
            </w:r>
            <w:r>
              <w:rPr>
                <w:rFonts w:hint="eastAsia" w:ascii="宋体" w:hAnsi="宋体" w:cs="宋体"/>
                <w:color w:val="000000" w:themeColor="text1"/>
                <w:kern w:val="0"/>
                <w:szCs w:val="21"/>
                <w:highlight w:val="none"/>
                <w14:textFill>
                  <w14:solidFill>
                    <w14:schemeClr w14:val="tx1"/>
                  </w14:solidFill>
                </w14:textFill>
              </w:rPr>
              <w:t>由采购人</w:t>
            </w:r>
            <w:r>
              <w:rPr>
                <w:rFonts w:hint="eastAsia" w:ascii="宋体" w:hAnsi="宋体" w:cs="宋体"/>
                <w:color w:val="000000" w:themeColor="text1"/>
                <w:kern w:val="0"/>
                <w:szCs w:val="21"/>
                <w:highlight w:val="none"/>
                <w:lang w:val="en-US" w:eastAsia="zh-CN"/>
                <w14:textFill>
                  <w14:solidFill>
                    <w14:schemeClr w14:val="tx1"/>
                  </w14:solidFill>
                </w14:textFill>
              </w:rPr>
              <w:t>抽取相关的技术人员组成</w:t>
            </w:r>
            <w:r>
              <w:rPr>
                <w:rFonts w:hint="eastAsia" w:ascii="宋体" w:hAnsi="宋体" w:cs="宋体"/>
                <w:color w:val="000000" w:themeColor="text1"/>
                <w:kern w:val="0"/>
                <w:szCs w:val="21"/>
                <w:highlight w:val="none"/>
                <w14:textFill>
                  <w14:solidFill>
                    <w14:schemeClr w14:val="tx1"/>
                  </w14:solidFill>
                </w14:textFill>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评标办法：</w:t>
            </w:r>
            <w:r>
              <w:rPr>
                <w:rFonts w:hint="eastAsia" w:ascii="宋体" w:hAnsi="宋体" w:cs="宋体"/>
                <w:color w:val="000000" w:themeColor="text1"/>
                <w:kern w:val="0"/>
                <w:szCs w:val="21"/>
                <w:highlight w:val="none"/>
                <w14:textFill>
                  <w14:solidFill>
                    <w14:schemeClr w14:val="tx1"/>
                  </w14:solidFill>
                </w14:textFill>
              </w:rPr>
              <w:t>本项目采用</w:t>
            </w:r>
            <w:r>
              <w:rPr>
                <w:rFonts w:hint="eastAsia" w:ascii="宋体" w:hAnsi="宋体" w:cs="宋体"/>
                <w:color w:val="000000" w:themeColor="text1"/>
                <w:szCs w:val="21"/>
                <w:highlight w:val="none"/>
                <w14:textFill>
                  <w14:solidFill>
                    <w14:schemeClr w14:val="tx1"/>
                  </w14:solidFill>
                </w14:textFill>
              </w:rPr>
              <w:t>综合评分法</w:t>
            </w:r>
            <w:r>
              <w:rPr>
                <w:rFonts w:hint="eastAsia" w:ascii="宋体" w:hAnsi="宋体" w:cs="宋体"/>
                <w:color w:val="000000" w:themeColor="text1"/>
                <w:kern w:val="0"/>
                <w:szCs w:val="21"/>
                <w:highlight w:val="none"/>
                <w14:textFill>
                  <w14:solidFill>
                    <w14:schemeClr w14:val="tx1"/>
                  </w14:solidFill>
                </w14:textFill>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公告及</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签订合同：自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付款方式：详见第二章</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投标文件有效期：投标</w:t>
            </w:r>
            <w:r>
              <w:rPr>
                <w:rFonts w:hint="eastAsia" w:ascii="宋体" w:hAnsi="宋体" w:cs="宋体"/>
                <w:color w:val="000000" w:themeColor="text1"/>
                <w:kern w:val="0"/>
                <w:szCs w:val="21"/>
                <w:highlight w:val="none"/>
                <w:lang w:val="en-US" w:eastAsia="zh-CN"/>
                <w14:textFill>
                  <w14:solidFill>
                    <w14:schemeClr w14:val="tx1"/>
                  </w14:solidFill>
                </w14:textFill>
              </w:rPr>
              <w:t>文件递交</w:t>
            </w:r>
            <w:r>
              <w:rPr>
                <w:rFonts w:hint="eastAsia" w:ascii="宋体" w:hAnsi="宋体" w:cs="宋体"/>
                <w:color w:val="000000" w:themeColor="text1"/>
                <w:kern w:val="0"/>
                <w:szCs w:val="21"/>
                <w:highlight w:val="none"/>
                <w14:textFill>
                  <w14:solidFill>
                    <w14:schemeClr w14:val="tx1"/>
                  </w14:solidFill>
                </w14:textFill>
              </w:rPr>
              <w:t>截止期结束后</w:t>
            </w:r>
            <w:r>
              <w:rPr>
                <w:rFonts w:hint="eastAsia" w:ascii="宋体" w:hAnsi="宋体" w:cs="宋体"/>
                <w:color w:val="000000" w:themeColor="text1"/>
                <w:kern w:val="0"/>
                <w:szCs w:val="21"/>
                <w:highlight w:val="none"/>
                <w:lang w:val="en-US" w:eastAsia="zh-CN"/>
                <w14:textFill>
                  <w14:solidFill>
                    <w14:schemeClr w14:val="tx1"/>
                  </w14:solidFill>
                </w14:textFill>
              </w:rPr>
              <w:t>90</w:t>
            </w:r>
            <w:r>
              <w:rPr>
                <w:rFonts w:hint="eastAsia" w:ascii="宋体" w:hAnsi="宋体" w:cs="宋体"/>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000000" w:themeColor="text1"/>
                <w:szCs w:val="21"/>
                <w:highlight w:val="none"/>
                <w14:textFill>
                  <w14:solidFill>
                    <w14:schemeClr w14:val="tx1"/>
                  </w14:solidFill>
                </w14:textFill>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质疑和投诉：供应商认为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bCs/>
                <w:color w:val="000000" w:themeColor="text1"/>
                <w:kern w:val="0"/>
                <w:szCs w:val="21"/>
                <w:highlight w:val="none"/>
                <w:lang w:eastAsia="zh-CN"/>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解释：1、构成本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文件的各个组成文件应互为解释，互为说明；如有不明确或不一致，构成合同文件组成内容的，以合同文件约定内容为准；除</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文件中有特殊规定外，仅适用于招标投标阶段的规定，按</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公告、供应商须知、评标办法、投标文件格式的先后顺序解释；同一组成文件中就同一事项的规定或约定不一致的，以编排顺序在后者为准；当</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文件与</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文件解释权归采购人。</w:t>
            </w:r>
          </w:p>
        </w:tc>
      </w:tr>
    </w:tbl>
    <w:p>
      <w:pPr>
        <w:rPr>
          <w:color w:val="000000" w:themeColor="text1"/>
          <w:highlight w:val="none"/>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8"/>
          <w:szCs w:val="28"/>
          <w:highlight w:val="none"/>
          <w14:textFill>
            <w14:solidFill>
              <w14:schemeClr w14:val="tx1"/>
            </w14:solidFill>
          </w14:textFill>
        </w:rPr>
        <w:t>一 、说 明</w:t>
      </w:r>
    </w:p>
    <w:p>
      <w:pPr>
        <w:keepNext w:val="0"/>
        <w:keepLines w:val="0"/>
        <w:pageBreakBefore w:val="0"/>
        <w:kinsoku/>
        <w:wordWrap/>
        <w:overflowPunct/>
        <w:topLinePunct w:val="0"/>
        <w:bidi w:val="0"/>
        <w:snapToGrid w:val="0"/>
        <w:spacing w:line="360" w:lineRule="auto"/>
        <w:rPr>
          <w:color w:val="000000" w:themeColor="text1"/>
          <w:highlight w:val="none"/>
          <w14:textFill>
            <w14:solidFill>
              <w14:schemeClr w14:val="tx1"/>
            </w14:solidFill>
          </w14:textFill>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文件仅适用于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eastAsia="zh-CN"/>
          <w14:textFill>
            <w14:solidFill>
              <w14:schemeClr w14:val="tx1"/>
            </w14:solidFill>
          </w14:textFill>
        </w:rPr>
        <w:t>货物</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 “采购人”系指</w:t>
      </w:r>
      <w:r>
        <w:rPr>
          <w:rFonts w:hint="eastAsia" w:ascii="宋体" w:hAnsi="宋体" w:eastAsia="宋体" w:cs="宋体"/>
          <w:color w:val="000000" w:themeColor="text1"/>
          <w:kern w:val="0"/>
          <w:szCs w:val="21"/>
          <w:highlight w:val="none"/>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“货物”系指投标人按采购文件规定向采购人提供的一切设备、机械、仪器仪表、备品备件、工具、手册及其它有关技术资料和材料。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3.采购预算：</w:t>
      </w:r>
      <w:r>
        <w:rPr>
          <w:rFonts w:hint="eastAsia" w:ascii="宋体" w:hAnsi="宋体" w:cs="宋体"/>
          <w:b/>
          <w:bCs/>
          <w:color w:val="000000" w:themeColor="text1"/>
          <w:kern w:val="0"/>
          <w:szCs w:val="21"/>
          <w:highlight w:val="none"/>
          <w:lang w:val="en-US" w:eastAsia="zh-CN"/>
          <w14:textFill>
            <w14:solidFill>
              <w14:schemeClr w14:val="tx1"/>
            </w14:solidFill>
          </w14:textFill>
        </w:rPr>
        <w:t>29.1万元；最低投标限价:9.7万元/年</w:t>
      </w:r>
      <w:r>
        <w:rPr>
          <w:rFonts w:hint="eastAsia" w:ascii="宋体" w:hAnsi="宋体" w:cs="宋体"/>
          <w:b/>
          <w:bCs/>
          <w:color w:val="000000" w:themeColor="text1"/>
          <w:kern w:val="0"/>
          <w:szCs w:val="21"/>
          <w:highlight w:val="none"/>
          <w:lang w:eastAsia="zh-CN"/>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4.</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 xml:space="preserve">4.1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供应商应为注册在中华人民共和国境内的，且具有独立承担民事责任能力，提供营业执照等证明文件。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 xml:space="preserve">4.2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供应商应提供2022年度</w:t>
      </w:r>
      <w:r>
        <w:rPr>
          <w:rFonts w:hint="eastAsia" w:cs="宋体"/>
          <w:color w:val="000000" w:themeColor="text1"/>
          <w:kern w:val="2"/>
          <w:sz w:val="21"/>
          <w:szCs w:val="24"/>
          <w:highlight w:val="none"/>
          <w:lang w:val="en-US" w:eastAsia="zh-CN" w:bidi="ar-SA"/>
          <w14:textFill>
            <w14:solidFill>
              <w14:schemeClr w14:val="tx1"/>
            </w14:solidFill>
          </w14:textFill>
        </w:rPr>
        <w:t>或2023年度</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经审计的财务报告或者其基本开户银行出具的资信证明；采购活动近</w:t>
      </w:r>
      <w:r>
        <w:rPr>
          <w:rFonts w:hint="eastAsia" w:cs="宋体"/>
          <w:color w:val="000000" w:themeColor="text1"/>
          <w:kern w:val="2"/>
          <w:sz w:val="21"/>
          <w:szCs w:val="24"/>
          <w:highlight w:val="none"/>
          <w:lang w:val="en-US" w:eastAsia="zh-CN" w:bidi="ar-SA"/>
          <w14:textFill>
            <w14:solidFill>
              <w14:schemeClr w14:val="tx1"/>
            </w14:solidFill>
          </w14:textFill>
        </w:rPr>
        <w:t>六</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个月任意一个月的依法缴纳税收的凭据和缴纳社会保险的凭据；依法免税或不需要缴纳社会保障资金的供应商，应提供相应文件证明其依法免税或不需要缴纳社会保障资金。（新成立企业从成立之日起计算）；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lang w:val="en-US" w:eastAsia="zh-CN"/>
          <w14:textFill>
            <w14:solidFill>
              <w14:schemeClr w14:val="tx1"/>
            </w14:solidFill>
          </w14:textFill>
        </w:rPr>
        <w:t xml:space="preserve"> </w:t>
      </w:r>
      <w:r>
        <w:rPr>
          <w:rFonts w:hint="eastAsia" w:cs="宋体"/>
          <w:color w:val="000000" w:themeColor="text1"/>
          <w:kern w:val="2"/>
          <w:sz w:val="21"/>
          <w:szCs w:val="24"/>
          <w:highlight w:val="none"/>
          <w:lang w:val="en-US" w:eastAsia="zh-CN" w:bidi="ar-SA"/>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4.6 单位负责人为同一人或者存在直接控股、管理关系的不同供应商，不得参加同一合同项下的投标（提供书面声明函）。一经发现，将导致投标同时被拒绝</w:t>
      </w:r>
      <w:r>
        <w:rPr>
          <w:rFonts w:hint="eastAsia" w:cs="宋体"/>
          <w:color w:val="000000" w:themeColor="text1"/>
          <w:kern w:val="2"/>
          <w:sz w:val="21"/>
          <w:szCs w:val="24"/>
          <w:highlight w:val="none"/>
          <w:lang w:val="en-US" w:eastAsia="zh-CN" w:bidi="ar-SA"/>
          <w14:textFill>
            <w14:solidFill>
              <w14:schemeClr w14:val="tx1"/>
            </w14:solidFill>
          </w14:textFill>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default"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4.7 其他</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资格</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要求详见竞争性磋商公告。</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不论投标结果如何，</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7.1 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000000" w:themeColor="text1"/>
          <w:kern w:val="0"/>
          <w:szCs w:val="21"/>
          <w:highlight w:val="none"/>
          <w:lang w:eastAsia="zh-CN"/>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9.1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9.2</w:t>
      </w:r>
      <w:r>
        <w:rPr>
          <w:rFonts w:hint="eastAsia" w:ascii="宋体" w:hAnsi="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代表只能接受一个</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9.3《政府采购法》第二十二条第五款“参加政府采购活动前三年内，在经营活动中没有重大违法记录”，“重大违法记录”包括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或者其法定代表人、董事、监事、高级管理人员因经营活动中的违法行为受到行政处罚，但警告和罚款额在人民币3万元以下的行政处罚除外；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10.1 </w:t>
      </w:r>
      <w:r>
        <w:rPr>
          <w:rFonts w:hint="eastAsia" w:ascii="宋体" w:hAnsi="宋体" w:cs="宋体"/>
          <w:bCs/>
          <w:color w:val="000000" w:themeColor="text1"/>
          <w:kern w:val="0"/>
          <w:szCs w:val="21"/>
          <w:highlight w:val="none"/>
          <w14:textFill>
            <w14:solidFill>
              <w14:schemeClr w14:val="tx1"/>
            </w14:solidFill>
          </w14:textFill>
        </w:rPr>
        <w:t>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10.2 </w:t>
      </w:r>
      <w:r>
        <w:rPr>
          <w:rFonts w:hint="eastAsia" w:ascii="宋体" w:hAnsi="宋体" w:cs="宋体"/>
          <w:bCs/>
          <w:color w:val="000000" w:themeColor="text1"/>
          <w:kern w:val="0"/>
          <w:szCs w:val="21"/>
          <w:highlight w:val="none"/>
          <w14:textFill>
            <w14:solidFill>
              <w14:schemeClr w14:val="tx1"/>
            </w14:solidFill>
          </w14:textFill>
        </w:rPr>
        <w:t>质疑、投诉应当采用书面形式，质疑书、投诉书均应明确阐述</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11.</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文件要求提供全部资料，或者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文件在各方面都作出实质性响应是</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二、</w:t>
      </w: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采购</w:t>
      </w:r>
      <w:r>
        <w:rPr>
          <w:rFonts w:hint="eastAsia" w:ascii="黑体" w:hAnsi="宋体" w:eastAsia="黑体" w:cs="宋体"/>
          <w:b/>
          <w:bCs/>
          <w:color w:val="000000" w:themeColor="text1"/>
          <w:kern w:val="0"/>
          <w:sz w:val="32"/>
          <w:szCs w:val="32"/>
          <w:highlight w:val="none"/>
          <w14:textFill>
            <w14:solidFill>
              <w14:schemeClr w14:val="tx1"/>
            </w14:solidFill>
          </w14:textFill>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12.</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文件的构成。本</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12.1 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13.</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13.1 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对已发出的</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文件进行必要澄清、修改或补充的，应当在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文件要求提交投标文件截止时间</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前，在</w:t>
      </w:r>
      <w:r>
        <w:rPr>
          <w:rFonts w:hint="eastAsia" w:ascii="宋体" w:hAnsi="宋体" w:cs="宋体"/>
          <w:color w:val="000000" w:themeColor="text1"/>
          <w:kern w:val="0"/>
          <w:szCs w:val="21"/>
          <w:highlight w:val="none"/>
          <w:lang w:val="en-US" w:eastAsia="zh-CN"/>
          <w14:textFill>
            <w14:solidFill>
              <w14:schemeClr w14:val="tx1"/>
            </w14:solidFill>
          </w14:textFill>
        </w:rPr>
        <w:t>原采购公告发布</w:t>
      </w:r>
      <w:r>
        <w:rPr>
          <w:rFonts w:hint="eastAsia" w:ascii="宋体" w:hAnsi="宋体" w:cs="宋体"/>
          <w:color w:val="000000" w:themeColor="text1"/>
          <w:kern w:val="0"/>
          <w:szCs w:val="21"/>
          <w:highlight w:val="none"/>
          <w14:textFill>
            <w14:solidFill>
              <w14:schemeClr w14:val="tx1"/>
            </w14:solidFill>
          </w14:textFill>
        </w:rPr>
        <w:t>相关媒体上发布更正公告或变更公告。</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文件公示期间对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文件澄清、修改或补充的内容为</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13.3 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文件的澄清、修改或补充都应以法定形式发布。采购人未对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13.4 </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可以视招标具体情况延长投标截止时间和开标时间，但至少应当在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文件要求提交投标文件的截止时间3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前，将变更时间</w:t>
      </w:r>
      <w:r>
        <w:rPr>
          <w:rFonts w:hint="eastAsia" w:ascii="宋体" w:hAnsi="宋体" w:cs="宋体"/>
          <w:color w:val="000000" w:themeColor="text1"/>
          <w:kern w:val="0"/>
          <w:szCs w:val="21"/>
          <w:highlight w:val="none"/>
          <w:lang w:val="en-US" w:eastAsia="zh-CN"/>
          <w14:textFill>
            <w14:solidFill>
              <w14:schemeClr w14:val="tx1"/>
            </w14:solidFill>
          </w14:textFill>
        </w:rPr>
        <w:t>通知所有潜在供应商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三</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应仔细阅读</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文件的所有内容，按照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文件提供的格式编写投标文件，不得缺少或留空任何</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文件要求填写的表格或提交的资料。</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文件提供格式的按格式填列，未提供格式的可自行拟定。投标文件应对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文件的要求作出实质性响应（包括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资格要求、技术要求、商务要求和投标文件格式中对投标的要求），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应完整签署投标文件格式附件中《投标书》，不得增减或修改内容。否则视为对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15.1投标文件以及</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15.2 关于投标计量单位，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文件已有明确规定的，使用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文件规定的计量单位；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文件没有规定的，应采用中华人民共和国法定计量单位。否则视为对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15.3 原版为外文的证书类文件，以及由外国人做出的本人签名、外国公司的名称或外国印章等可以是外文，但应当提供中文翻译文件并加盖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公章。必要时</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16.投标文件的组成</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b/>
          <w:bCs/>
          <w:color w:val="000000" w:themeColor="text1"/>
          <w:kern w:val="0"/>
          <w:szCs w:val="21"/>
          <w:highlight w:val="none"/>
          <w14:textFill>
            <w14:solidFill>
              <w14:schemeClr w14:val="tx1"/>
            </w14:solidFill>
          </w14:textFill>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16.2、</w:t>
      </w:r>
      <w:r>
        <w:rPr>
          <w:rFonts w:hint="eastAsia" w:ascii="宋体" w:hAnsi="宋体" w:cs="宋体"/>
          <w:color w:val="000000" w:themeColor="text1"/>
          <w:kern w:val="0"/>
          <w:szCs w:val="21"/>
          <w:highlight w:val="none"/>
          <w14:textFill>
            <w14:solidFill>
              <w14:schemeClr w14:val="tx1"/>
            </w14:solidFill>
          </w14:textFill>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7</w:t>
      </w:r>
      <w:r>
        <w:rPr>
          <w:rFonts w:hint="eastAsia" w:ascii="宋体" w:hAnsi="宋体" w:cs="宋体"/>
          <w:color w:val="000000" w:themeColor="text1"/>
          <w:kern w:val="0"/>
          <w:szCs w:val="21"/>
          <w:highlight w:val="none"/>
          <w14:textFill>
            <w14:solidFill>
              <w14:schemeClr w14:val="tx1"/>
            </w14:solidFill>
          </w14:textFill>
        </w:rPr>
        <w:t>、证明文件</w:t>
      </w:r>
    </w:p>
    <w:p>
      <w:pPr>
        <w:keepNext w:val="0"/>
        <w:keepLines w:val="0"/>
        <w:pageBreakBefore w:val="0"/>
        <w:widowControl/>
        <w:kinsoku/>
        <w:wordWrap/>
        <w:overflowPunct/>
        <w:topLinePunct w:val="0"/>
        <w:bidi w:val="0"/>
        <w:snapToGrid w:val="0"/>
        <w:spacing w:line="360" w:lineRule="auto"/>
        <w:ind w:firstLine="420"/>
        <w:jc w:val="left"/>
        <w:rPr>
          <w:color w:val="000000" w:themeColor="text1"/>
          <w:sz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17.1 投标文件从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公告所规定的投标截止期之后开始生效，在</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须知前附表</w:t>
      </w:r>
      <w:r>
        <w:rPr>
          <w:rFonts w:hint="eastAsia" w:ascii="宋体" w:hAnsi="宋体" w:cs="宋体"/>
          <w:color w:val="000000" w:themeColor="text1"/>
          <w:kern w:val="0"/>
          <w:szCs w:val="21"/>
          <w:highlight w:val="none"/>
          <w14:textFill>
            <w14:solidFill>
              <w14:schemeClr w14:val="tx1"/>
            </w14:solidFill>
          </w14:textFill>
        </w:rPr>
        <w:t>第16项所规定的期限内保持有效。有效期不足将导致其投标文件被拒绝。</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17.2特殊情况下</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可于投标有效期满之前书面要求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同意延长有效期，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规定的期限内以书面形式予以答复。</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可以拒绝上述要求。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答复不明确或者逾期未答复的，均视为拒绝上述要求。对于接受该要求的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18.3 </w:t>
      </w:r>
      <w:r>
        <w:rPr>
          <w:rFonts w:hint="eastAsia" w:ascii="宋体" w:hAnsi="宋体" w:cs="宋体"/>
          <w:color w:val="000000" w:themeColor="text1"/>
          <w:spacing w:val="10"/>
          <w:kern w:val="0"/>
          <w:szCs w:val="21"/>
          <w:highlight w:val="none"/>
          <w:lang w:eastAsia="zh-CN"/>
          <w14:textFill>
            <w14:solidFill>
              <w14:schemeClr w14:val="tx1"/>
            </w14:solidFill>
          </w14:textFill>
        </w:rPr>
        <w:t>供应商</w:t>
      </w:r>
      <w:r>
        <w:rPr>
          <w:rFonts w:hint="eastAsia" w:ascii="宋体" w:hAnsi="宋体" w:cs="宋体"/>
          <w:color w:val="000000" w:themeColor="text1"/>
          <w:spacing w:val="10"/>
          <w:kern w:val="0"/>
          <w:szCs w:val="21"/>
          <w:highlight w:val="none"/>
          <w14:textFill>
            <w14:solidFill>
              <w14:schemeClr w14:val="tx1"/>
            </w14:solidFill>
          </w14:textFill>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18.4 开标一览表中标明的价格在政府采购合同执行过程中是固定不变的，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18.5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 对于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000000" w:themeColor="text1"/>
          <w:kern w:val="0"/>
          <w:szCs w:val="21"/>
          <w:highlight w:val="none"/>
          <w:lang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19.投标保证金</w:t>
      </w:r>
      <w:r>
        <w:rPr>
          <w:rFonts w:hint="eastAsia" w:ascii="宋体" w:hAnsi="宋体" w:cs="宋体"/>
          <w:b/>
          <w:color w:val="000000" w:themeColor="text1"/>
          <w:kern w:val="0"/>
          <w:szCs w:val="21"/>
          <w:highlight w:val="none"/>
          <w:lang w:eastAsia="zh-CN"/>
          <w14:textFill>
            <w14:solidFill>
              <w14:schemeClr w14:val="tx1"/>
            </w14:solidFill>
          </w14:textFill>
        </w:rPr>
        <w:t>（</w:t>
      </w:r>
      <w:r>
        <w:rPr>
          <w:rFonts w:hint="eastAsia" w:ascii="宋体" w:hAnsi="宋体" w:cs="宋体"/>
          <w:b/>
          <w:color w:val="000000" w:themeColor="text1"/>
          <w:kern w:val="0"/>
          <w:szCs w:val="21"/>
          <w:highlight w:val="none"/>
          <w:lang w:val="en-US" w:eastAsia="zh-CN"/>
          <w14:textFill>
            <w14:solidFill>
              <w14:schemeClr w14:val="tx1"/>
            </w14:solidFill>
          </w14:textFill>
        </w:rPr>
        <w:t>详见采购公告</w:t>
      </w:r>
      <w:r>
        <w:rPr>
          <w:rFonts w:hint="eastAsia" w:ascii="宋体" w:hAnsi="宋体" w:cs="宋体"/>
          <w:b/>
          <w:color w:val="000000" w:themeColor="text1"/>
          <w:kern w:val="0"/>
          <w:szCs w:val="21"/>
          <w:highlight w:val="none"/>
          <w:lang w:eastAsia="zh-CN"/>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000000" w:themeColor="text1"/>
          <w:kern w:val="0"/>
          <w:szCs w:val="21"/>
          <w:highlight w:val="none"/>
          <w:lang w:val="en-US"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20.投标文件的签署</w:t>
      </w:r>
      <w:r>
        <w:rPr>
          <w:rFonts w:hint="eastAsia" w:ascii="宋体" w:hAnsi="宋体" w:cs="宋体"/>
          <w:b/>
          <w:color w:val="000000" w:themeColor="text1"/>
          <w:kern w:val="0"/>
          <w:szCs w:val="21"/>
          <w:highlight w:val="none"/>
          <w:lang w:val="en-US" w:eastAsia="zh-CN"/>
          <w14:textFill>
            <w14:solidFill>
              <w14:schemeClr w14:val="tx1"/>
            </w14:solidFill>
          </w14:textFill>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.1投标文件应按第六章“投标文件格式”进行编写，如有必要，可以增加附页，作为投标文件的组成部分。其中，投标报价一览表在满足</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文件实质性要求的基础上，可以提出比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000000" w:themeColor="text1"/>
          <w:kern w:val="0"/>
          <w:szCs w:val="21"/>
          <w:highlight w:val="none"/>
          <w:lang w:eastAsia="zh-CN"/>
          <w14:textFill>
            <w14:solidFill>
              <w14:schemeClr w14:val="tx1"/>
            </w14:solidFill>
          </w14:textFill>
        </w:rPr>
        <w:t>磋商</w:t>
      </w:r>
      <w:r>
        <w:rPr>
          <w:rFonts w:hint="eastAsia" w:ascii="宋体" w:hAnsi="宋体" w:eastAsia="宋体" w:cs="宋体"/>
          <w:color w:val="000000" w:themeColor="text1"/>
          <w:kern w:val="0"/>
          <w:szCs w:val="21"/>
          <w:highlight w:val="none"/>
          <w14:textFill>
            <w14:solidFill>
              <w14:schemeClr w14:val="tx1"/>
            </w14:solidFill>
          </w14:textFill>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.3投标文件应用不褪色的材料书写或打印，并由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的法定代表人盖章或盖单位公章；投标文件应尽量避免涂改、行间插字或删除，如果出现上述情况，改动之处应加盖单位公章或由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的法定代表人盖章确认。签字或盖章的具体要求见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.4投标文件份数见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.5投标文件的具体装订要求见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须知前附表规定。</w:t>
      </w:r>
    </w:p>
    <w:p>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000000" w:themeColor="text1"/>
          <w:kern w:val="0"/>
          <w:sz w:val="32"/>
          <w:szCs w:val="32"/>
          <w:highlight w:val="none"/>
          <w14:textFill>
            <w14:solidFill>
              <w14:schemeClr w14:val="tx1"/>
            </w14:solidFill>
          </w14:textFill>
        </w:rPr>
      </w:pPr>
      <w:r>
        <w:rPr>
          <w:rFonts w:hint="eastAsia" w:ascii="黑体" w:hAnsi="宋体" w:eastAsia="黑体" w:cs="宋体"/>
          <w:b/>
          <w:color w:val="000000" w:themeColor="text1"/>
          <w:kern w:val="0"/>
          <w:sz w:val="32"/>
          <w:szCs w:val="32"/>
          <w:highlight w:val="none"/>
          <w14:textFill>
            <w14:solidFill>
              <w14:schemeClr w14:val="tx1"/>
            </w14:solidFill>
          </w14:textFill>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21.1</w:t>
      </w:r>
      <w:r>
        <w:rPr>
          <w:color w:val="000000" w:themeColor="text1"/>
          <w:highlight w:val="none"/>
          <w14:textFill>
            <w14:solidFill>
              <w14:schemeClr w14:val="tx1"/>
            </w14:solidFill>
          </w14:textFill>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 xml:space="preserve"> 未按本章第2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应在规定的投标截止时间前</w:t>
      </w:r>
      <w:r>
        <w:rPr>
          <w:rFonts w:hint="eastAsia" w:ascii="宋体" w:hAnsi="宋体" w:cs="宋体"/>
          <w:color w:val="000000" w:themeColor="text1"/>
          <w:kern w:val="0"/>
          <w:szCs w:val="21"/>
          <w:highlight w:val="none"/>
          <w:lang w:eastAsia="zh-CN"/>
          <w14:textFill>
            <w14:solidFill>
              <w14:schemeClr w14:val="tx1"/>
            </w14:solidFill>
          </w14:textFill>
        </w:rPr>
        <w:t>递交</w:t>
      </w:r>
      <w:r>
        <w:rPr>
          <w:rFonts w:hint="eastAsia" w:ascii="宋体" w:hAnsi="宋体" w:cs="宋体"/>
          <w:color w:val="000000" w:themeColor="text1"/>
          <w:kern w:val="0"/>
          <w:szCs w:val="21"/>
          <w:highlight w:val="none"/>
          <w14:textFill>
            <w14:solidFill>
              <w14:schemeClr w14:val="tx1"/>
            </w14:solidFill>
          </w14:textFill>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递交投标文件的地点：见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 除</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须知前附表另有规定外，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在投标截止时间前，可以对所提交的投标文件进行补充、修改或者撤回，并书面通知</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在投标截止期后不得修改、撤回投标文件。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五</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 组建</w:t>
      </w:r>
      <w:r>
        <w:rPr>
          <w:rFonts w:hint="eastAsia" w:ascii="宋体" w:hAnsi="宋体" w:cs="宋体"/>
          <w:b/>
          <w:bCs/>
          <w:color w:val="000000" w:themeColor="text1"/>
          <w:kern w:val="0"/>
          <w:szCs w:val="21"/>
          <w:highlight w:val="none"/>
          <w:lang w:eastAsia="zh-CN"/>
          <w14:textFill>
            <w14:solidFill>
              <w14:schemeClr w14:val="tx1"/>
            </w14:solidFill>
          </w14:textFill>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由采购人代表和评审专家组成。成员由</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人以上单数组成。</w:t>
      </w:r>
      <w:r>
        <w:rPr>
          <w:rFonts w:hint="eastAsia" w:ascii="宋体" w:hAnsi="宋体" w:cs="宋体"/>
          <w:color w:val="000000" w:themeColor="text1"/>
          <w:szCs w:val="21"/>
          <w:highlight w:val="none"/>
          <w14:textFill>
            <w14:solidFill>
              <w14:schemeClr w14:val="tx1"/>
            </w14:solidFill>
          </w14:textFill>
        </w:rPr>
        <w:t>在开标后由</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成员要依法独立评审，并对评审意见承担个人责任。</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成员对需要共同认定的事项存在争议的，按照少数服从多数的原则</w:t>
      </w:r>
      <w:r>
        <w:rPr>
          <w:rFonts w:hint="eastAsia" w:ascii="宋体" w:hAnsi="宋体" w:cs="宋体"/>
          <w:color w:val="000000" w:themeColor="text1"/>
          <w:kern w:val="0"/>
          <w:szCs w:val="21"/>
          <w:highlight w:val="none"/>
          <w14:textFill>
            <w14:solidFill>
              <w14:schemeClr w14:val="tx1"/>
            </w14:solidFill>
          </w14:textFill>
        </w:rPr>
        <w:t>做</w:t>
      </w:r>
      <w:r>
        <w:rPr>
          <w:rFonts w:hint="eastAsia" w:ascii="宋体" w:hAnsi="宋体" w:cs="宋体"/>
          <w:color w:val="000000" w:themeColor="text1"/>
          <w:szCs w:val="21"/>
          <w:highlight w:val="none"/>
          <w14:textFill>
            <w14:solidFill>
              <w14:schemeClr w14:val="tx1"/>
            </w14:solidFill>
          </w14:textFill>
        </w:rPr>
        <w:t>出结论。持不同意见的</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成员应当在评标报告上签署不同意见</w:t>
      </w:r>
      <w:r>
        <w:rPr>
          <w:rFonts w:hint="eastAsia" w:ascii="宋体" w:hAnsi="宋体" w:cs="宋体"/>
          <w:color w:val="000000" w:themeColor="text1"/>
          <w:kern w:val="0"/>
          <w:szCs w:val="21"/>
          <w:highlight w:val="none"/>
          <w14:textFill>
            <w14:solidFill>
              <w14:schemeClr w14:val="tx1"/>
            </w14:solidFill>
          </w14:textFill>
        </w:rPr>
        <w:t>并说明</w:t>
      </w:r>
      <w:r>
        <w:rPr>
          <w:rFonts w:hint="eastAsia" w:ascii="宋体" w:hAnsi="宋体" w:cs="宋体"/>
          <w:color w:val="000000" w:themeColor="text1"/>
          <w:szCs w:val="21"/>
          <w:highlight w:val="none"/>
          <w14:textFill>
            <w14:solidFill>
              <w14:schemeClr w14:val="tx1"/>
            </w14:solidFill>
          </w14:textFill>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w:t>
      </w:r>
      <w:r>
        <w:rPr>
          <w:rFonts w:hint="eastAsia" w:ascii="宋体" w:hAnsi="宋体" w:cs="宋体"/>
          <w:b/>
          <w:bCs/>
          <w:color w:val="000000" w:themeColor="text1"/>
          <w:szCs w:val="21"/>
          <w:highlight w:val="none"/>
          <w:lang w:val="en-US" w:eastAsia="zh-CN"/>
          <w14:textFill>
            <w14:solidFill>
              <w14:schemeClr w14:val="tx1"/>
            </w14:solidFill>
          </w14:textFill>
        </w:rPr>
        <w:t>5</w:t>
      </w:r>
      <w:r>
        <w:rPr>
          <w:rFonts w:hint="eastAsia" w:ascii="宋体" w:hAnsi="宋体" w:cs="宋体"/>
          <w:b/>
          <w:bCs/>
          <w:color w:val="000000" w:themeColor="text1"/>
          <w:szCs w:val="21"/>
          <w:highlight w:val="none"/>
          <w14:textFill>
            <w14:solidFill>
              <w14:schemeClr w14:val="tx1"/>
            </w14:solidFill>
          </w14:textFill>
        </w:rPr>
        <w:t>. 投标文件的初审</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.1对所有</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的评估，都采用相同的程序和标准。评标过程将严格按照</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.2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3</w:t>
      </w:r>
      <w:r>
        <w:rPr>
          <w:rFonts w:ascii="宋体" w:hAnsi="宋体" w:cs="宋体"/>
          <w:color w:val="000000" w:themeColor="text1"/>
          <w:kern w:val="0"/>
          <w:szCs w:val="21"/>
          <w:highlight w:val="none"/>
          <w14:textFill>
            <w14:solidFill>
              <w14:schemeClr w14:val="tx1"/>
            </w14:solidFill>
          </w14:textFill>
        </w:rPr>
        <w:t> </w:t>
      </w:r>
      <w:r>
        <w:rPr>
          <w:rFonts w:hint="eastAsia"/>
          <w:color w:val="000000" w:themeColor="text1"/>
          <w:kern w:val="0"/>
          <w:szCs w:val="21"/>
          <w:highlight w:val="none"/>
          <w14:textFill>
            <w14:solidFill>
              <w14:schemeClr w14:val="tx1"/>
            </w14:solidFill>
          </w14:textFill>
        </w:rPr>
        <w:t>投标文件报价出现前后不一致的，除</w:t>
      </w:r>
      <w:r>
        <w:rPr>
          <w:rFonts w:hint="eastAsia"/>
          <w:color w:val="000000" w:themeColor="text1"/>
          <w:kern w:val="0"/>
          <w:szCs w:val="21"/>
          <w:highlight w:val="none"/>
          <w:lang w:val="en-US" w:eastAsia="zh-CN"/>
          <w14:textFill>
            <w14:solidFill>
              <w14:schemeClr w14:val="tx1"/>
            </w14:solidFill>
          </w14:textFill>
        </w:rPr>
        <w:t>采购</w:t>
      </w:r>
      <w:r>
        <w:rPr>
          <w:rFonts w:hint="eastAsia"/>
          <w:color w:val="000000" w:themeColor="text1"/>
          <w:kern w:val="0"/>
          <w:szCs w:val="21"/>
          <w:highlight w:val="none"/>
          <w14:textFill>
            <w14:solidFill>
              <w14:schemeClr w14:val="tx1"/>
            </w14:solidFill>
          </w14:textFill>
        </w:rPr>
        <w:t>文件另有规定外，</w:t>
      </w:r>
      <w:r>
        <w:rPr>
          <w:rFonts w:hint="eastAsia" w:cs="宋体"/>
          <w:color w:val="000000" w:themeColor="text1"/>
          <w:kern w:val="0"/>
          <w:szCs w:val="21"/>
          <w:highlight w:val="none"/>
          <w14:textFill>
            <w14:solidFill>
              <w14:schemeClr w14:val="tx1"/>
            </w14:solidFill>
          </w14:textFill>
        </w:rPr>
        <w:t>修正错误的原则如下：</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.3.1</w:t>
      </w:r>
      <w:r>
        <w:rPr>
          <w:rFonts w:hint="eastAsia" w:ascii="宋体" w:hAnsi="宋体" w:cs="宋体"/>
          <w:color w:val="000000" w:themeColor="text1"/>
          <w:sz w:val="21"/>
          <w:szCs w:val="21"/>
          <w:highlight w:val="none"/>
          <w:shd w:val="clear" w:color="auto" w:fill="FFFFFF"/>
          <w14:textFill>
            <w14:solidFill>
              <w14:schemeClr w14:val="tx1"/>
            </w14:solidFill>
          </w14:textFill>
        </w:rPr>
        <w:t>投标文件开标一览表（报价表）内容与投标文件中相应内容不一致的，以开标一览表（报价表）为准；</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.3.2</w:t>
      </w:r>
      <w:r>
        <w:rPr>
          <w:rFonts w:hint="eastAsia" w:ascii="宋体" w:hAnsi="宋体" w:cs="宋体"/>
          <w:color w:val="000000" w:themeColor="text1"/>
          <w:sz w:val="21"/>
          <w:szCs w:val="21"/>
          <w:highlight w:val="none"/>
          <w:shd w:val="clear" w:color="auto" w:fill="FFFFFF"/>
          <w14:textFill>
            <w14:solidFill>
              <w14:schemeClr w14:val="tx1"/>
            </w14:solidFill>
          </w14:textFill>
        </w:rPr>
        <w:t>大写金额</w:t>
      </w:r>
      <w:r>
        <w:rPr>
          <w:rFonts w:hint="eastAsia" w:ascii="宋体" w:hAnsi="宋体" w:cs="宋体"/>
          <w:color w:val="000000" w:themeColor="text1"/>
          <w:sz w:val="21"/>
          <w:szCs w:val="21"/>
          <w:highlight w:val="none"/>
          <w14:textFill>
            <w14:solidFill>
              <w14:schemeClr w14:val="tx1"/>
            </w14:solidFill>
          </w14:textFill>
        </w:rPr>
        <w:t>与</w:t>
      </w:r>
      <w:r>
        <w:rPr>
          <w:rFonts w:hint="eastAsia" w:ascii="宋体" w:hAnsi="宋体" w:cs="宋体"/>
          <w:color w:val="000000" w:themeColor="text1"/>
          <w:sz w:val="21"/>
          <w:szCs w:val="21"/>
          <w:highlight w:val="none"/>
          <w:shd w:val="clear" w:color="auto" w:fill="FFFFFF"/>
          <w14:textFill>
            <w14:solidFill>
              <w14:schemeClr w14:val="tx1"/>
            </w14:solidFill>
          </w14:textFill>
        </w:rPr>
        <w:t>小写金额不一致的，以大写金额为准；</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.3.3</w:t>
      </w:r>
      <w:r>
        <w:rPr>
          <w:rFonts w:hint="eastAsia" w:ascii="宋体" w:hAnsi="宋体" w:cs="宋体"/>
          <w:color w:val="000000" w:themeColor="text1"/>
          <w:sz w:val="21"/>
          <w:szCs w:val="21"/>
          <w:highlight w:val="none"/>
          <w:shd w:val="clear" w:color="auto" w:fill="FFFFFF"/>
          <w14:textFill>
            <w14:solidFill>
              <w14:schemeClr w14:val="tx1"/>
            </w14:solidFill>
          </w14:textFill>
        </w:rPr>
        <w:t>单价金额小数点或者百分比有明显错位的，以开标一览表的总价为准，并修改单价；</w:t>
      </w:r>
    </w:p>
    <w:p>
      <w:pPr>
        <w:pStyle w:val="32"/>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.3.4</w:t>
      </w:r>
      <w:r>
        <w:rPr>
          <w:rFonts w:hint="eastAsia" w:ascii="宋体" w:hAnsi="宋体" w:cs="宋体"/>
          <w:color w:val="000000" w:themeColor="text1"/>
          <w:sz w:val="21"/>
          <w:szCs w:val="21"/>
          <w:highlight w:val="none"/>
          <w:shd w:val="clear" w:color="auto" w:fill="FFFFFF"/>
          <w14:textFill>
            <w14:solidFill>
              <w14:schemeClr w14:val="tx1"/>
            </w14:solidFill>
          </w14:textFill>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.3.6 同时出现两种以上不一致的，按照前款规定的顺序修正。修正后的报价按照财政部87号令第五十一条第二款的规定经</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确认后产生约束力，</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w:t>
      </w:r>
      <w:r>
        <w:rPr>
          <w:rFonts w:hint="eastAsia" w:ascii="宋体" w:hAnsi="宋体"/>
          <w:color w:val="000000" w:themeColor="text1"/>
          <w:szCs w:val="21"/>
          <w:highlight w:val="none"/>
          <w14:textFill>
            <w14:solidFill>
              <w14:schemeClr w14:val="tx1"/>
            </w14:solidFill>
          </w14:textFill>
        </w:rPr>
        <w:t>资格性检查。依据法规政策和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文件的规定，在对投标文件详细评估之前，采购人将依据</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提交的投标文件按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公告第二项和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文件第三章4.</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应提交的证明文件所述的资格标准对</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进行资格审查,以确定其是否具备投标资格。如果</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不具备投标资格、不满足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文件所规定的资格标准或提供资格证明文件不全,其投标将被作为无效投标。</w:t>
      </w:r>
      <w:r>
        <w:rPr>
          <w:rFonts w:hint="eastAsia" w:ascii="宋体" w:hAnsi="宋体" w:cs="Lucida Sans Unicode"/>
          <w:color w:val="000000" w:themeColor="text1"/>
          <w:szCs w:val="21"/>
          <w:highlight w:val="none"/>
          <w14:textFill>
            <w14:solidFill>
              <w14:schemeClr w14:val="tx1"/>
            </w14:solidFill>
          </w14:textFill>
        </w:rPr>
        <w:t>在审查过程中，采购人有权要求</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按</w:t>
      </w:r>
      <w:r>
        <w:rPr>
          <w:rFonts w:hint="eastAsia" w:ascii="宋体" w:hAnsi="宋体" w:cs="Lucida Sans Unicode"/>
          <w:color w:val="000000" w:themeColor="text1"/>
          <w:szCs w:val="21"/>
          <w:highlight w:val="none"/>
          <w:lang w:val="en-US" w:eastAsia="zh-CN"/>
          <w14:textFill>
            <w14:solidFill>
              <w14:schemeClr w14:val="tx1"/>
            </w14:solidFill>
          </w14:textFill>
        </w:rPr>
        <w:t>采购</w:t>
      </w:r>
      <w:r>
        <w:rPr>
          <w:rFonts w:hint="eastAsia" w:ascii="宋体" w:hAnsi="宋体" w:cs="Lucida Sans Unicode"/>
          <w:color w:val="000000" w:themeColor="text1"/>
          <w:szCs w:val="21"/>
          <w:highlight w:val="none"/>
          <w14:textFill>
            <w14:solidFill>
              <w14:schemeClr w14:val="tx1"/>
            </w14:solidFill>
          </w14:textFill>
        </w:rPr>
        <w:t>文件的规定提供相关资格证明材料的原件以供审查。</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应在规定的时限内提供。</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000000" w:themeColor="text1"/>
          <w:szCs w:val="21"/>
          <w:highlight w:val="none"/>
          <w14:textFill>
            <w14:solidFill>
              <w14:schemeClr w14:val="tx1"/>
            </w14:solidFill>
          </w14:textFill>
        </w:rPr>
      </w:pPr>
      <w:r>
        <w:rPr>
          <w:rFonts w:hint="eastAsia" w:ascii="宋体" w:hAnsi="宋体" w:cs="Lucida Sans Unicode"/>
          <w:color w:val="000000" w:themeColor="text1"/>
          <w:szCs w:val="21"/>
          <w:highlight w:val="none"/>
          <w14:textFill>
            <w14:solidFill>
              <w14:schemeClr w14:val="tx1"/>
            </w14:solidFill>
          </w14:textFill>
        </w:rPr>
        <w:t>2</w:t>
      </w:r>
      <w:r>
        <w:rPr>
          <w:rFonts w:hint="eastAsia" w:ascii="宋体" w:hAnsi="宋体" w:cs="Lucida Sans Unicode"/>
          <w:color w:val="000000" w:themeColor="text1"/>
          <w:szCs w:val="21"/>
          <w:highlight w:val="none"/>
          <w:lang w:val="en-US" w:eastAsia="zh-CN"/>
          <w14:textFill>
            <w14:solidFill>
              <w14:schemeClr w14:val="tx1"/>
            </w14:solidFill>
          </w14:textFill>
        </w:rPr>
        <w:t>5</w:t>
      </w:r>
      <w:r>
        <w:rPr>
          <w:rFonts w:hint="eastAsia" w:ascii="宋体" w:hAnsi="宋体" w:cs="Lucida Sans Unicode"/>
          <w:color w:val="000000" w:themeColor="text1"/>
          <w:szCs w:val="21"/>
          <w:highlight w:val="none"/>
          <w14:textFill>
            <w14:solidFill>
              <w14:schemeClr w14:val="tx1"/>
            </w14:solidFill>
          </w14:textFill>
        </w:rPr>
        <w:t>.4.2 资格审查后合格的</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 符合性检查。依据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将从投标文件的有效性、完整性和对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文件的响应程度进行审查，以确定是否符合对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（3）资格证明文件不全的，或不符合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eastAsia="zh-CN"/>
          <w14:textFill>
            <w14:solidFill>
              <w14:schemeClr w14:val="tx1"/>
            </w14:solidFill>
          </w14:textFill>
        </w:rPr>
        <w:t>质量</w:t>
      </w:r>
      <w:r>
        <w:rPr>
          <w:rFonts w:hint="eastAsia" w:ascii="宋体" w:hAnsi="宋体"/>
          <w:color w:val="000000" w:themeColor="text1"/>
          <w:szCs w:val="21"/>
          <w:highlight w:val="none"/>
          <w14:textFill>
            <w14:solidFill>
              <w14:schemeClr w14:val="tx1"/>
            </w14:solidFill>
          </w14:textFill>
        </w:rPr>
        <w:t>等不满足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（6）投标文件的实质性内容未使用中文表述，或意思表述不明确，或前后矛盾，或使用计量单位不符合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（8）投标文件内容未按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（9）不符合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.4.4 对资格性检查和符合性检查不合格的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，将</w:t>
      </w:r>
      <w:r>
        <w:rPr>
          <w:rFonts w:hint="eastAsia" w:ascii="宋体" w:hAnsi="宋体" w:cs="宋体"/>
          <w:color w:val="000000" w:themeColor="text1"/>
          <w:kern w:val="0"/>
          <w:szCs w:val="21"/>
          <w:highlight w:val="none"/>
          <w:lang w:val="en-US" w:eastAsia="zh-CN"/>
          <w14:textFill>
            <w14:solidFill>
              <w14:schemeClr w14:val="tx1"/>
            </w14:solidFill>
          </w14:textFill>
        </w:rPr>
        <w:t>通过评标系统</w:t>
      </w:r>
      <w:r>
        <w:rPr>
          <w:rFonts w:hint="eastAsia" w:ascii="宋体" w:hAnsi="宋体" w:cs="宋体"/>
          <w:color w:val="000000" w:themeColor="text1"/>
          <w:kern w:val="0"/>
          <w:szCs w:val="21"/>
          <w:highlight w:val="none"/>
          <w14:textFill>
            <w14:solidFill>
              <w14:schemeClr w14:val="tx1"/>
            </w14:solidFill>
          </w14:textFill>
        </w:rPr>
        <w:t>告知其理由。</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.5 在评审过程中，</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发现</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有下列情形之一的，视为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.5.1不同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.5.2不同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.5.3不同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.5.4不同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.5.5不同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.5.6不同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.5.7 有证据证明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.5.8 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 xml:space="preserve">.5.9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6</w:t>
      </w:r>
      <w:r>
        <w:rPr>
          <w:rFonts w:hint="eastAsia" w:ascii="宋体" w:hAnsi="宋体" w:cs="宋体"/>
          <w:b/>
          <w:bCs/>
          <w:color w:val="000000" w:themeColor="text1"/>
          <w:kern w:val="0"/>
          <w:szCs w:val="21"/>
          <w:highlight w:val="none"/>
          <w14:textFill>
            <w14:solidFill>
              <w14:schemeClr w14:val="tx1"/>
            </w14:solidFill>
          </w14:textFill>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对投标文件中含义不明确、同类问题表述不一致或者有明显文字和计算错误的内容，</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可以书面形式要求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作出必要的澄清。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的澄清应当在</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规定的时间内以书面形式作出，由其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代表签字。但澄清事项不得超出投标文件的范围，不得实质性改变投标文件的内容，不得通过澄清等方式对</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实行差别对待。</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不得接受</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7</w:t>
      </w:r>
      <w:r>
        <w:rPr>
          <w:rFonts w:hint="eastAsia" w:ascii="宋体" w:hAnsi="宋体" w:cs="宋体"/>
          <w:b/>
          <w:bCs/>
          <w:color w:val="000000" w:themeColor="text1"/>
          <w:kern w:val="0"/>
          <w:szCs w:val="21"/>
          <w:highlight w:val="none"/>
          <w14:textFill>
            <w14:solidFill>
              <w14:schemeClr w14:val="tx1"/>
            </w14:solidFill>
          </w14:textFill>
        </w:rPr>
        <w:t>. 比较与评价</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 xml:space="preserve">.1 </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将按本</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文件规定的评标方法与标准，对资格性检查和符合性检查合格的投标文件进行商务和技术评估，综合比较与评价。</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.2对漏（缺）报项的处理：</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文件中要求列入报价的费用（含配置、功能），漏（缺）报的视同已含在投标总价中。</w:t>
      </w:r>
    </w:p>
    <w:p>
      <w:pPr>
        <w:pStyle w:val="32"/>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认为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的报价明显</w:t>
      </w:r>
      <w:r>
        <w:rPr>
          <w:rFonts w:hint="eastAsia" w:ascii="宋体" w:hAnsi="宋体" w:cs="宋体"/>
          <w:color w:val="000000" w:themeColor="text1"/>
          <w:sz w:val="21"/>
          <w:szCs w:val="21"/>
          <w:highlight w:val="none"/>
          <w:lang w:val="en-US" w:eastAsia="zh-CN"/>
          <w14:textFill>
            <w14:solidFill>
              <w14:schemeClr w14:val="tx1"/>
            </w14:solidFill>
          </w14:textFill>
        </w:rPr>
        <w:t>异与</w:t>
      </w:r>
      <w:r>
        <w:rPr>
          <w:rFonts w:hint="eastAsia" w:ascii="宋体" w:hAnsi="宋体" w:cs="宋体"/>
          <w:color w:val="000000" w:themeColor="text1"/>
          <w:sz w:val="21"/>
          <w:szCs w:val="21"/>
          <w:highlight w:val="none"/>
          <w14:textFill>
            <w14:solidFill>
              <w14:schemeClr w14:val="tx1"/>
            </w14:solidFill>
          </w14:textFill>
        </w:rPr>
        <w:t>其他通过符合性审查</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的报价，有可能影响产品质量或者不能诚信履约的，应当要求其在评标现场合理的时间内提供书面说明，必要时提交相关证明材料；</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不能证明其报价合理性的，</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8</w:t>
      </w:r>
      <w:r>
        <w:rPr>
          <w:rFonts w:hint="eastAsia" w:ascii="宋体" w:hAnsi="宋体" w:cs="宋体"/>
          <w:b/>
          <w:bCs/>
          <w:color w:val="000000" w:themeColor="text1"/>
          <w:kern w:val="0"/>
          <w:szCs w:val="21"/>
          <w:highlight w:val="none"/>
          <w14:textFill>
            <w14:solidFill>
              <w14:schemeClr w14:val="tx1"/>
            </w14:solidFill>
          </w14:textFill>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.1 凡与本次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有关人员对属于审查、澄清、评价和比较投标的有关资料以及定标意向等，均不得向</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.2 在评标期间，</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lang w:val="en-US" w:eastAsia="zh-CN"/>
          <w14:textFill>
            <w14:solidFill>
              <w14:schemeClr w14:val="tx1"/>
            </w14:solidFill>
          </w14:textFill>
        </w:rPr>
        <w:t>29</w:t>
      </w:r>
      <w:r>
        <w:rPr>
          <w:rFonts w:hint="eastAsia" w:ascii="宋体" w:hAnsi="宋体" w:cs="宋体"/>
          <w:b/>
          <w:color w:val="000000" w:themeColor="text1"/>
          <w:kern w:val="0"/>
          <w:szCs w:val="21"/>
          <w:highlight w:val="none"/>
          <w14:textFill>
            <w14:solidFill>
              <w14:schemeClr w14:val="tx1"/>
            </w14:solidFill>
          </w14:textFill>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工作人员对评审专家等相关人员在评审过程中发现、提出的异议进行逐项登记。</w:t>
      </w:r>
    </w:p>
    <w:p>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六</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0</w:t>
      </w:r>
      <w:r>
        <w:rPr>
          <w:rFonts w:hint="eastAsia" w:ascii="宋体" w:hAnsi="宋体" w:cs="宋体"/>
          <w:b/>
          <w:bCs/>
          <w:color w:val="000000" w:themeColor="text1"/>
          <w:kern w:val="0"/>
          <w:szCs w:val="21"/>
          <w:highlight w:val="none"/>
          <w14:textFill>
            <w14:solidFill>
              <w14:schemeClr w14:val="tx1"/>
            </w14:solidFill>
          </w14:textFill>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 确定实质上响应</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文件且满足下列条件的为</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bCs/>
          <w:color w:val="000000" w:themeColor="text1"/>
          <w:kern w:val="0"/>
          <w:szCs w:val="21"/>
          <w:highlight w:val="none"/>
          <w14:textFill>
            <w14:solidFill>
              <w14:schemeClr w14:val="tx1"/>
            </w14:solidFill>
          </w14:textFill>
        </w:rPr>
        <w:t>（或</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39" w:name="_Toc32200"/>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.2.1</w:t>
      </w:r>
      <w:bookmarkEnd w:id="39"/>
      <w:r>
        <w:rPr>
          <w:rFonts w:hint="eastAsia" w:ascii="宋体" w:hAnsi="宋体" w:cs="宋体"/>
          <w:bCs/>
          <w:color w:val="000000" w:themeColor="text1"/>
          <w:kern w:val="0"/>
          <w:szCs w:val="21"/>
          <w:highlight w:val="none"/>
          <w14:textFill>
            <w14:solidFill>
              <w14:schemeClr w14:val="tx1"/>
            </w14:solidFill>
          </w14:textFill>
        </w:rPr>
        <w:t>本次评标采用</w:t>
      </w:r>
      <w:r>
        <w:rPr>
          <w:rFonts w:hint="eastAsia" w:ascii="宋体" w:hAnsi="宋体" w:cs="宋体"/>
          <w:color w:val="000000" w:themeColor="text1"/>
          <w:szCs w:val="21"/>
          <w:highlight w:val="none"/>
          <w14:textFill>
            <w14:solidFill>
              <w14:schemeClr w14:val="tx1"/>
            </w14:solidFill>
          </w14:textFill>
        </w:rPr>
        <w:t>综合评分法，是指响应文件满足采购文件全部实质性要求，且按照评审因素的量化指标评审得分最高的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采用综合评分法的，评标结果按评审后得分由高到低顺序排列。投标文件满足</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为排名第一的</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，以此类推。得分相同的，按投标报价由高到低顺序排列。得分且投标报价相同的，按技术部分得分顺序排列。得分与技术指标优劣均相同的，通过随机抽取产生。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1</w:t>
      </w:r>
      <w:r>
        <w:rPr>
          <w:rFonts w:hint="eastAsia" w:ascii="宋体" w:hAnsi="宋体" w:cs="宋体"/>
          <w:b/>
          <w:bCs/>
          <w:color w:val="000000" w:themeColor="text1"/>
          <w:kern w:val="0"/>
          <w:szCs w:val="21"/>
          <w:highlight w:val="none"/>
          <w14:textFill>
            <w14:solidFill>
              <w14:schemeClr w14:val="tx1"/>
            </w14:solidFill>
          </w14:textFill>
        </w:rPr>
        <w:t>. 确定</w:t>
      </w:r>
      <w:r>
        <w:rPr>
          <w:rFonts w:hint="eastAsia" w:ascii="宋体" w:hAnsi="宋体" w:cs="宋体"/>
          <w:b/>
          <w:bCs/>
          <w:color w:val="000000" w:themeColor="text1"/>
          <w:kern w:val="0"/>
          <w:szCs w:val="21"/>
          <w:highlight w:val="none"/>
          <w:lang w:eastAsia="zh-CN"/>
          <w14:textFill>
            <w14:solidFill>
              <w14:schemeClr w14:val="tx1"/>
            </w14:solidFill>
          </w14:textFill>
        </w:rPr>
        <w:t>成交人</w:t>
      </w:r>
      <w:r>
        <w:rPr>
          <w:rFonts w:hint="eastAsia" w:ascii="宋体" w:hAnsi="宋体" w:cs="宋体"/>
          <w:b/>
          <w:bCs/>
          <w:color w:val="000000" w:themeColor="text1"/>
          <w:kern w:val="0"/>
          <w:szCs w:val="21"/>
          <w:highlight w:val="none"/>
          <w14:textFill>
            <w14:solidFill>
              <w14:schemeClr w14:val="tx1"/>
            </w14:solidFill>
          </w14:textFill>
        </w:rPr>
        <w:t>和</w:t>
      </w:r>
      <w:r>
        <w:rPr>
          <w:rFonts w:hint="eastAsia" w:ascii="宋体" w:hAnsi="宋体" w:cs="宋体"/>
          <w:b/>
          <w:bCs/>
          <w:color w:val="000000" w:themeColor="text1"/>
          <w:kern w:val="0"/>
          <w:szCs w:val="21"/>
          <w:highlight w:val="none"/>
          <w:lang w:eastAsia="zh-CN"/>
          <w14:textFill>
            <w14:solidFill>
              <w14:schemeClr w14:val="tx1"/>
            </w14:solidFill>
          </w14:textFill>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本项目由采购人授权</w:t>
      </w:r>
      <w:r>
        <w:rPr>
          <w:rFonts w:hint="eastAsia" w:ascii="宋体" w:hAnsi="宋体" w:cs="宋体"/>
          <w:bCs/>
          <w:color w:val="000000" w:themeColor="text1"/>
          <w:kern w:val="0"/>
          <w:szCs w:val="21"/>
          <w:highlight w:val="none"/>
          <w:lang w:eastAsia="zh-CN"/>
          <w14:textFill>
            <w14:solidFill>
              <w14:schemeClr w14:val="tx1"/>
            </w14:solidFill>
          </w14:textFill>
        </w:rPr>
        <w:t>磋商小组</w:t>
      </w:r>
      <w:r>
        <w:rPr>
          <w:rFonts w:hint="eastAsia" w:ascii="宋体" w:hAnsi="宋体" w:cs="宋体"/>
          <w:bCs/>
          <w:color w:val="000000" w:themeColor="text1"/>
          <w:kern w:val="0"/>
          <w:szCs w:val="21"/>
          <w:highlight w:val="none"/>
          <w14:textFill>
            <w14:solidFill>
              <w14:schemeClr w14:val="tx1"/>
            </w14:solidFill>
          </w14:textFill>
        </w:rPr>
        <w:t>确定一名</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并推荐</w:t>
      </w:r>
      <w:r>
        <w:rPr>
          <w:rFonts w:hint="eastAsia" w:ascii="宋体" w:hAnsi="宋体" w:cs="宋体"/>
          <w:bCs/>
          <w:color w:val="000000" w:themeColor="text1"/>
          <w:kern w:val="0"/>
          <w:szCs w:val="21"/>
          <w:highlight w:val="none"/>
          <w:lang w:val="en-US" w:eastAsia="zh-CN"/>
          <w14:textFill>
            <w14:solidFill>
              <w14:schemeClr w14:val="tx1"/>
            </w14:solidFill>
          </w14:textFill>
        </w:rPr>
        <w:t>一</w:t>
      </w:r>
      <w:r>
        <w:rPr>
          <w:rFonts w:hint="eastAsia" w:ascii="宋体" w:hAnsi="宋体" w:cs="宋体"/>
          <w:bCs/>
          <w:color w:val="000000" w:themeColor="text1"/>
          <w:kern w:val="0"/>
          <w:szCs w:val="21"/>
          <w:highlight w:val="none"/>
          <w14:textFill>
            <w14:solidFill>
              <w14:schemeClr w14:val="tx1"/>
            </w14:solidFill>
          </w14:textFill>
        </w:rPr>
        <w:t>名</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2</w:t>
      </w:r>
      <w:r>
        <w:rPr>
          <w:rFonts w:hint="eastAsia" w:ascii="宋体" w:hAnsi="宋体" w:cs="宋体"/>
          <w:b/>
          <w:bCs/>
          <w:color w:val="000000" w:themeColor="text1"/>
          <w:kern w:val="0"/>
          <w:szCs w:val="21"/>
          <w:highlight w:val="none"/>
          <w14:textFill>
            <w14:solidFill>
              <w14:schemeClr w14:val="tx1"/>
            </w14:solidFill>
          </w14:textFill>
        </w:rPr>
        <w:t xml:space="preserve">. </w:t>
      </w:r>
      <w:r>
        <w:rPr>
          <w:rFonts w:hint="eastAsia" w:ascii="宋体" w:hAnsi="宋体" w:cs="宋体"/>
          <w:b/>
          <w:bCs/>
          <w:color w:val="000000" w:themeColor="text1"/>
          <w:kern w:val="0"/>
          <w:szCs w:val="21"/>
          <w:highlight w:val="none"/>
          <w:lang w:eastAsia="zh-CN"/>
          <w14:textFill>
            <w14:solidFill>
              <w14:schemeClr w14:val="tx1"/>
            </w14:solidFill>
          </w14:textFill>
        </w:rPr>
        <w:t>成交通知书</w:t>
      </w:r>
      <w:r>
        <w:rPr>
          <w:rFonts w:hint="eastAsia" w:ascii="宋体" w:hAnsi="宋体" w:cs="宋体"/>
          <w:b/>
          <w:bCs/>
          <w:color w:val="000000" w:themeColor="text1"/>
          <w:kern w:val="0"/>
          <w:szCs w:val="21"/>
          <w:highlight w:val="none"/>
          <w14:textFill>
            <w14:solidFill>
              <w14:schemeClr w14:val="tx1"/>
            </w14:solidFill>
          </w14:textFill>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.1评审结束后，</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人将</w:t>
      </w:r>
      <w:r>
        <w:rPr>
          <w:rFonts w:hint="eastAsia" w:ascii="宋体" w:hAnsi="宋体" w:cs="宋体"/>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的情况在本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公告发布的同一媒介予以公示，公示</w:t>
      </w:r>
      <w:r>
        <w:rPr>
          <w:rFonts w:hint="eastAsia" w:ascii="宋体" w:hAnsi="宋体" w:cs="宋体"/>
          <w:color w:val="000000" w:themeColor="text1"/>
          <w:kern w:val="0"/>
          <w:szCs w:val="21"/>
          <w:highlight w:val="none"/>
          <w:lang w:eastAsia="zh-CN"/>
          <w14:textFill>
            <w14:solidFill>
              <w14:schemeClr w14:val="tx1"/>
            </w14:solidFill>
          </w14:textFill>
        </w:rPr>
        <w:t>期限</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个工作日</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公示期结束后</w:t>
      </w:r>
      <w:r>
        <w:rPr>
          <w:rFonts w:hint="eastAsia" w:ascii="宋体" w:hAnsi="宋体" w:cs="宋体"/>
          <w:color w:val="000000" w:themeColor="text1"/>
          <w:kern w:val="0"/>
          <w:szCs w:val="21"/>
          <w:highlight w:val="none"/>
          <w14:textFill>
            <w14:solidFill>
              <w14:schemeClr w14:val="tx1"/>
            </w14:solidFill>
          </w14:textFill>
        </w:rPr>
        <w:t>向</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发出</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在规定的时间内不领取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的，视为中标后自动放弃中标资格；</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在有效报价中报价最</w:t>
      </w:r>
      <w:r>
        <w:rPr>
          <w:rFonts w:hint="eastAsia" w:ascii="宋体" w:hAnsi="宋体" w:cs="宋体"/>
          <w:color w:val="000000" w:themeColor="text1"/>
          <w:kern w:val="0"/>
          <w:szCs w:val="21"/>
          <w:highlight w:val="none"/>
          <w:lang w:val="en-US" w:eastAsia="zh-CN"/>
          <w14:textFill>
            <w14:solidFill>
              <w14:schemeClr w14:val="tx1"/>
            </w14:solidFill>
          </w14:textFill>
        </w:rPr>
        <w:t>高</w:t>
      </w:r>
      <w:r>
        <w:rPr>
          <w:rFonts w:hint="eastAsia" w:ascii="宋体" w:hAnsi="宋体" w:cs="宋体"/>
          <w:color w:val="000000" w:themeColor="text1"/>
          <w:kern w:val="0"/>
          <w:szCs w:val="21"/>
          <w:highlight w:val="none"/>
          <w14:textFill>
            <w14:solidFill>
              <w14:schemeClr w14:val="tx1"/>
            </w14:solidFill>
          </w14:textFill>
        </w:rPr>
        <w:t>,非不可抗力放弃中标资格的。发生上述情况的承担由此引起的一切后果。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对采购人和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具有同等法律效力。</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发出后，采购人改变中标结果，或者</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bCs/>
          <w:color w:val="000000" w:themeColor="text1"/>
          <w:kern w:val="0"/>
          <w:szCs w:val="21"/>
          <w:highlight w:val="none"/>
          <w14:textFill>
            <w14:solidFill>
              <w14:schemeClr w14:val="tx1"/>
            </w14:solidFill>
          </w14:textFill>
        </w:rPr>
        <w:t>.4</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将作为签订合同的依据。合同签订后，</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3</w:t>
      </w:r>
      <w:r>
        <w:rPr>
          <w:rFonts w:hint="eastAsia" w:ascii="宋体" w:hAnsi="宋体" w:cs="宋体"/>
          <w:b/>
          <w:bCs/>
          <w:color w:val="000000" w:themeColor="text1"/>
          <w:kern w:val="0"/>
          <w:szCs w:val="21"/>
          <w:highlight w:val="none"/>
          <w14:textFill>
            <w14:solidFill>
              <w14:schemeClr w14:val="tx1"/>
            </w14:solidFill>
          </w14:textFill>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.1出现下列情况之一时，采购人有权宣布废标，并将理由通知所有</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.1.2</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的报价均</w:t>
      </w:r>
      <w:r>
        <w:rPr>
          <w:rFonts w:hint="eastAsia" w:ascii="宋体" w:hAnsi="宋体" w:cs="宋体"/>
          <w:bCs/>
          <w:color w:val="000000" w:themeColor="text1"/>
          <w:kern w:val="0"/>
          <w:szCs w:val="21"/>
          <w:highlight w:val="none"/>
          <w:lang w:val="en-US" w:eastAsia="zh-CN"/>
          <w14:textFill>
            <w14:solidFill>
              <w14:schemeClr w14:val="tx1"/>
            </w14:solidFill>
          </w14:textFill>
        </w:rPr>
        <w:t>低于采购预算金额</w:t>
      </w:r>
      <w:r>
        <w:rPr>
          <w:rFonts w:hint="eastAsia" w:ascii="宋体" w:hAnsi="宋体" w:cs="宋体"/>
          <w:bCs/>
          <w:color w:val="000000" w:themeColor="text1"/>
          <w:kern w:val="0"/>
          <w:szCs w:val="21"/>
          <w:highlight w:val="none"/>
          <w14:textFill>
            <w14:solidFill>
              <w14:schemeClr w14:val="tx1"/>
            </w14:solidFill>
          </w14:textFill>
        </w:rPr>
        <w:t>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szCs w:val="21"/>
          <w:highlight w:val="none"/>
          <w14:textFill>
            <w14:solidFill>
              <w14:schemeClr w14:val="tx1"/>
            </w14:solidFill>
          </w14:textFill>
        </w:rPr>
        <w:t>投标截止后</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不足3家或通过资格性检查或符合性检查的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000000" w:themeColor="text1"/>
          <w:kern w:val="0"/>
          <w:sz w:val="52"/>
          <w:szCs w:val="5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七</w:t>
      </w:r>
      <w:r>
        <w:rPr>
          <w:rFonts w:hint="eastAsia" w:ascii="黑体" w:hAnsi="宋体" w:eastAsia="黑体" w:cs="宋体"/>
          <w:b/>
          <w:bCs/>
          <w:color w:val="000000" w:themeColor="text1"/>
          <w:kern w:val="0"/>
          <w:sz w:val="32"/>
          <w:szCs w:val="32"/>
          <w:highlight w:val="none"/>
          <w14:textFill>
            <w14:solidFill>
              <w14:schemeClr w14:val="tx1"/>
            </w14:solidFill>
          </w14:textFill>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u w:val="single"/>
          <w14:textFill>
            <w14:solidFill>
              <w14:schemeClr w14:val="tx1"/>
            </w14:solidFill>
          </w14:textFill>
        </w:rPr>
      </w:pPr>
      <w:bookmarkStart w:id="40" w:name="_Toc8594"/>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.1 采购人、</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文件第三章《</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须知前附表》规定的时间内，根据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文件确定的事项和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投标文件签订合同。双方所签订的合同不得对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文件的修改文件、</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的投标文件、补充或修改的文件及澄清或承诺文件等，均为双方签订合同的组成部分，并与合同一并作为本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.3 </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放弃中标、因不可抗力不能履行合同、不按照</w:t>
      </w:r>
      <w:r>
        <w:rPr>
          <w:rFonts w:hint="eastAsia" w:cs="宋体"/>
          <w:color w:val="000000" w:themeColor="text1"/>
          <w:kern w:val="0"/>
          <w:szCs w:val="21"/>
          <w:highlight w:val="none"/>
          <w:lang w:val="en-US" w:eastAsia="zh-CN"/>
          <w14:textFill>
            <w14:solidFill>
              <w14:schemeClr w14:val="tx1"/>
            </w14:solidFill>
          </w14:textFill>
        </w:rPr>
        <w:t>采购</w:t>
      </w:r>
      <w:r>
        <w:rPr>
          <w:rFonts w:hint="eastAsia" w:cs="宋体"/>
          <w:color w:val="000000" w:themeColor="text1"/>
          <w:kern w:val="0"/>
          <w:szCs w:val="21"/>
          <w:highlight w:val="none"/>
          <w14:textFill>
            <w14:solidFill>
              <w14:schemeClr w14:val="tx1"/>
            </w14:solidFill>
          </w14:textFill>
        </w:rPr>
        <w:t>文件要求提交履约保证金，或者被查实存在影响中标结果的违法行为等情形，不符合中标条件的，</w:t>
      </w:r>
      <w:r>
        <w:rPr>
          <w:rFonts w:hint="eastAsia" w:ascii="宋体" w:hAnsi="宋体" w:cs="宋体"/>
          <w:color w:val="000000" w:themeColor="text1"/>
          <w:kern w:val="0"/>
          <w:szCs w:val="21"/>
          <w:highlight w:val="none"/>
          <w14:textFill>
            <w14:solidFill>
              <w14:schemeClr w14:val="tx1"/>
            </w14:solidFill>
          </w14:textFill>
        </w:rPr>
        <w:t>采购人可以</w:t>
      </w:r>
      <w:r>
        <w:rPr>
          <w:rFonts w:hint="eastAsia" w:cs="宋体"/>
          <w:color w:val="000000" w:themeColor="text1"/>
          <w:kern w:val="0"/>
          <w:szCs w:val="21"/>
          <w:highlight w:val="none"/>
          <w14:textFill>
            <w14:solidFill>
              <w14:schemeClr w14:val="tx1"/>
            </w14:solidFill>
          </w14:textFill>
        </w:rPr>
        <w:t>按照</w:t>
      </w:r>
      <w:r>
        <w:rPr>
          <w:rFonts w:hint="eastAsia" w:cs="宋体"/>
          <w:color w:val="000000" w:themeColor="text1"/>
          <w:kern w:val="0"/>
          <w:szCs w:val="21"/>
          <w:highlight w:val="none"/>
          <w:lang w:eastAsia="zh-CN"/>
          <w14:textFill>
            <w14:solidFill>
              <w14:schemeClr w14:val="tx1"/>
            </w14:solidFill>
          </w14:textFill>
        </w:rPr>
        <w:t>磋商小组</w:t>
      </w:r>
      <w:r>
        <w:rPr>
          <w:rFonts w:hint="eastAsia" w:cs="宋体"/>
          <w:color w:val="000000" w:themeColor="text1"/>
          <w:kern w:val="0"/>
          <w:szCs w:val="21"/>
          <w:highlight w:val="none"/>
          <w14:textFill>
            <w14:solidFill>
              <w14:schemeClr w14:val="tx1"/>
            </w14:solidFill>
          </w14:textFill>
        </w:rPr>
        <w:t>提出的</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名单排序依次确定其他</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为</w:t>
      </w:r>
      <w:r>
        <w:rPr>
          <w:rFonts w:hint="eastAsia"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，也可以重新招标。</w:t>
      </w:r>
    </w:p>
    <w:bookmarkEnd w:id="40"/>
    <w:p>
      <w:pPr>
        <w:rPr>
          <w:color w:val="000000" w:themeColor="text1"/>
          <w:highlight w:val="none"/>
          <w14:textFill>
            <w14:solidFill>
              <w14:schemeClr w14:val="tx1"/>
            </w14:solidFill>
          </w14:textFill>
        </w:rPr>
      </w:pPr>
      <w:bookmarkStart w:id="41" w:name="_Toc4700"/>
      <w:bookmarkStart w:id="42" w:name="_Toc16669"/>
      <w:r>
        <w:rPr>
          <w:color w:val="000000" w:themeColor="text1"/>
          <w:highlight w:val="none"/>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000000" w:themeColor="text1"/>
          <w:kern w:val="0"/>
          <w:sz w:val="24"/>
          <w:highlight w:val="none"/>
          <w14:textFill>
            <w14:solidFill>
              <w14:schemeClr w14:val="tx1"/>
            </w14:solidFill>
          </w14:textFill>
        </w:rPr>
      </w:pPr>
      <w:bookmarkStart w:id="43" w:name="_Toc16473"/>
      <w:r>
        <w:rPr>
          <w:rFonts w:hint="eastAsia" w:ascii="黑体" w:hAnsi="宋体" w:eastAsia="黑体" w:cs="宋体"/>
          <w:b/>
          <w:bCs/>
          <w:color w:val="000000" w:themeColor="text1"/>
          <w:kern w:val="0"/>
          <w:sz w:val="32"/>
          <w:szCs w:val="32"/>
          <w:highlight w:val="none"/>
          <w14:textFill>
            <w14:solidFill>
              <w14:schemeClr w14:val="tx1"/>
            </w14:solidFill>
          </w14:textFill>
        </w:rPr>
        <w:t>第四章  评标办法及评分标准</w:t>
      </w:r>
      <w:bookmarkEnd w:id="41"/>
      <w:bookmarkEnd w:id="43"/>
    </w:p>
    <w:p>
      <w:pPr>
        <w:rPr>
          <w:color w:val="000000" w:themeColor="text1"/>
          <w:highlight w:val="none"/>
          <w14:textFill>
            <w14:solidFill>
              <w14:schemeClr w14:val="tx1"/>
            </w14:solidFill>
          </w14:textFill>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按照“公平、公正”的原则对待所有</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1"/>
          <w:szCs w:val="21"/>
          <w:highlight w:val="none"/>
          <w14:textFill>
            <w14:solidFill>
              <w14:schemeClr w14:val="tx1"/>
            </w14:solidFill>
          </w14:textFill>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评标结果按评审后得分由高到低顺序排列，得分相同的，按投标报价由高到低顺序排列。得分且投标报价相同的，按技术部分得分顺序排列。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14:textFill>
            <w14:solidFill>
              <w14:schemeClr w14:val="tx1"/>
            </w14:solidFill>
          </w14:textFill>
        </w:rPr>
        <w:t>.投标文件满足</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文件全部实质性要求，且评审得分最高的</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为第一</w:t>
      </w:r>
      <w:r>
        <w:rPr>
          <w:rFonts w:hint="eastAsia" w:ascii="宋体" w:hAnsi="宋体" w:cs="宋体"/>
          <w:b w:val="0"/>
          <w:bCs w:val="0"/>
          <w:color w:val="000000" w:themeColor="text1"/>
          <w:sz w:val="21"/>
          <w:szCs w:val="21"/>
          <w:highlight w:val="none"/>
          <w:lang w:eastAsia="zh-CN"/>
          <w14:textFill>
            <w14:solidFill>
              <w14:schemeClr w14:val="tx1"/>
            </w14:solidFill>
          </w14:textFill>
        </w:rPr>
        <w:t>成交候选人</w:t>
      </w:r>
      <w:r>
        <w:rPr>
          <w:rFonts w:hint="eastAsia" w:ascii="宋体" w:hAnsi="宋体" w:eastAsia="宋体" w:cs="宋体"/>
          <w:b w:val="0"/>
          <w:bCs w:val="0"/>
          <w:color w:val="000000" w:themeColor="text1"/>
          <w:sz w:val="21"/>
          <w:szCs w:val="21"/>
          <w:highlight w:val="none"/>
          <w14:textFill>
            <w14:solidFill>
              <w14:schemeClr w14:val="tx1"/>
            </w14:solidFill>
          </w14:textFill>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详细评审（100分）</w:t>
      </w:r>
    </w:p>
    <w:tbl>
      <w:tblPr>
        <w:tblStyle w:val="35"/>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价格标部分 (30分)</w:t>
            </w:r>
          </w:p>
        </w:tc>
        <w:tc>
          <w:tcPr>
            <w:tcW w:w="8243" w:type="dxa"/>
            <w:gridSpan w:val="2"/>
            <w:noWrap w:val="0"/>
            <w:vAlign w:val="center"/>
          </w:tcPr>
          <w:p>
            <w:pPr>
              <w:pStyle w:val="6"/>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u w:val="none"/>
                <w14:textFill>
                  <w14:solidFill>
                    <w14:schemeClr w14:val="tx1"/>
                  </w14:solidFill>
                </w14:textFill>
              </w:rPr>
            </w:pPr>
            <w:r>
              <w:rPr>
                <w:rFonts w:hint="eastAsia" w:ascii="宋体" w:hAnsi="宋体" w:eastAsia="宋体" w:cs="宋体"/>
                <w:b w:val="0"/>
                <w:bCs w:val="0"/>
                <w:color w:val="000000" w:themeColor="text1"/>
                <w:sz w:val="21"/>
                <w:szCs w:val="21"/>
                <w:highlight w:val="none"/>
                <w:u w:val="none"/>
                <w14:textFill>
                  <w14:solidFill>
                    <w14:schemeClr w14:val="tx1"/>
                  </w14:solidFill>
                </w14:textFill>
              </w:rPr>
              <w:t>说明：当</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发现</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的投标报价明显</w:t>
            </w:r>
            <w:r>
              <w:rPr>
                <w:rFonts w:hint="eastAsia" w:hAnsi="宋体" w:cs="宋体"/>
                <w:b w:val="0"/>
                <w:bCs w:val="0"/>
                <w:color w:val="000000" w:themeColor="text1"/>
                <w:sz w:val="21"/>
                <w:szCs w:val="21"/>
                <w:highlight w:val="none"/>
                <w:u w:val="none"/>
                <w:lang w:val="en-US" w:eastAsia="zh-CN"/>
                <w14:textFill>
                  <w14:solidFill>
                    <w14:schemeClr w14:val="tx1"/>
                  </w14:solidFill>
                </w14:textFill>
              </w:rPr>
              <w:t>异与</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其他投标报价，使其投标报价可能低于其个别成本的，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可对其质询，并要求该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做出书面说明和提供相关的证明材料；该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不能合理说明或提供证明材料的，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应按无效投标处理。</w:t>
            </w:r>
          </w:p>
          <w:p>
            <w:pPr>
              <w:pStyle w:val="6"/>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有效投标报价：投标报价</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不</w:t>
            </w:r>
            <w:r>
              <w:rPr>
                <w:rFonts w:hint="eastAsia" w:hAnsi="宋体" w:cs="宋体"/>
                <w:b w:val="0"/>
                <w:bCs w:val="0"/>
                <w:color w:val="000000" w:themeColor="text1"/>
                <w:sz w:val="21"/>
                <w:szCs w:val="21"/>
                <w:highlight w:val="none"/>
                <w:lang w:val="en-US" w:eastAsia="zh-CN"/>
                <w14:textFill>
                  <w14:solidFill>
                    <w14:schemeClr w14:val="tx1"/>
                  </w14:solidFill>
                </w14:textFill>
              </w:rPr>
              <w:t>低</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于</w:t>
            </w:r>
            <w:r>
              <w:rPr>
                <w:rFonts w:hint="eastAsia" w:ascii="宋体" w:hAnsi="宋体" w:eastAsia="宋体" w:cs="宋体"/>
                <w:b w:val="0"/>
                <w:bCs w:val="0"/>
                <w:color w:val="000000" w:themeColor="text1"/>
                <w:sz w:val="21"/>
                <w:szCs w:val="21"/>
                <w:highlight w:val="none"/>
                <w14:textFill>
                  <w14:solidFill>
                    <w14:schemeClr w14:val="tx1"/>
                  </w14:solidFill>
                </w14:textFill>
              </w:rPr>
              <w:t>采购预算价的为有效投标报价。</w:t>
            </w:r>
          </w:p>
          <w:p>
            <w:pPr>
              <w:pStyle w:val="6"/>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评标基准值的确定：满足采购文件要求且投标价格最</w:t>
            </w:r>
            <w:r>
              <w:rPr>
                <w:rFonts w:hint="eastAsia" w:hAnsi="宋体" w:cs="宋体"/>
                <w:b w:val="0"/>
                <w:bCs w:val="0"/>
                <w:color w:val="000000" w:themeColor="text1"/>
                <w:sz w:val="21"/>
                <w:szCs w:val="21"/>
                <w:highlight w:val="none"/>
                <w:lang w:val="en-US" w:eastAsia="zh-CN"/>
                <w14:textFill>
                  <w14:solidFill>
                    <w14:schemeClr w14:val="tx1"/>
                  </w14:solidFill>
                </w14:textFill>
              </w:rPr>
              <w:t>高</w:t>
            </w:r>
            <w:r>
              <w:rPr>
                <w:rFonts w:hint="eastAsia" w:ascii="宋体" w:hAnsi="宋体" w:eastAsia="宋体" w:cs="宋体"/>
                <w:b w:val="0"/>
                <w:bCs w:val="0"/>
                <w:color w:val="000000" w:themeColor="text1"/>
                <w:sz w:val="21"/>
                <w:szCs w:val="21"/>
                <w:highlight w:val="none"/>
                <w14:textFill>
                  <w14:solidFill>
                    <w14:schemeClr w14:val="tx1"/>
                  </w14:solidFill>
                </w14:textFill>
              </w:rPr>
              <w:t>的有效投标报价为评标基准价。</w:t>
            </w:r>
          </w:p>
          <w:p>
            <w:pP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投标报价得分=（有效投标报价/评标基准价）×30分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服务质量</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1.服务能力的响应程度(</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0分）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 xml:space="preserve">完全满足招标文件第二章 采购需求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、技术要求”的得</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14:textFill>
                  <w14:solidFill>
                    <w14:schemeClr w14:val="tx1"/>
                  </w14:solidFill>
                </w14:textFill>
              </w:rPr>
              <w:t>0分；一项不满足扣</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得分为0，则投标无效。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restart"/>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.实施方案（1</w:t>
            </w:r>
            <w:r>
              <w:rPr>
                <w:rFonts w:hint="eastAsia" w:ascii="宋体" w:hAnsi="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lang w:val="en-US" w:eastAsia="zh-CN"/>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cs="宋体"/>
                <w:b w:val="0"/>
                <w:bCs w:val="0"/>
                <w:color w:val="auto"/>
                <w:kern w:val="2"/>
                <w:sz w:val="21"/>
                <w:szCs w:val="21"/>
                <w:highlight w:val="none"/>
                <w:lang w:val="en-US" w:eastAsia="zh-CN"/>
              </w:rPr>
              <w:t>提供的实施</w:t>
            </w:r>
            <w:r>
              <w:rPr>
                <w:rFonts w:hint="eastAsia" w:ascii="宋体" w:hAnsi="宋体" w:eastAsia="宋体" w:cs="宋体"/>
                <w:b w:val="0"/>
                <w:bCs w:val="0"/>
                <w:color w:val="auto"/>
                <w:sz w:val="21"/>
                <w:szCs w:val="21"/>
                <w:highlight w:val="none"/>
              </w:rPr>
              <w:t>方案，包括</w:t>
            </w:r>
            <w:r>
              <w:rPr>
                <w:rFonts w:hint="eastAsia" w:ascii="宋体" w:hAnsi="宋体" w:cs="宋体"/>
                <w:b w:val="0"/>
                <w:bCs w:val="0"/>
                <w:color w:val="auto"/>
                <w:sz w:val="21"/>
                <w:szCs w:val="21"/>
                <w:highlight w:val="none"/>
                <w:lang w:val="en-US" w:eastAsia="zh-CN"/>
              </w:rPr>
              <w:t>但不限于时间安排</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回收计划、密封存储、卫生清洁</w:t>
            </w:r>
            <w:r>
              <w:rPr>
                <w:rFonts w:hint="eastAsia" w:ascii="宋体" w:hAnsi="宋体" w:eastAsia="宋体" w:cs="宋体"/>
                <w:b w:val="0"/>
                <w:bCs w:val="0"/>
                <w:color w:val="auto"/>
                <w:sz w:val="21"/>
                <w:szCs w:val="21"/>
                <w:highlight w:val="none"/>
                <w:lang w:val="en-US" w:eastAsia="zh-CN"/>
              </w:rPr>
              <w:t>等</w:t>
            </w:r>
            <w:r>
              <w:rPr>
                <w:rFonts w:hint="eastAsia" w:ascii="宋体" w:hAnsi="宋体" w:cs="宋体"/>
                <w:b w:val="0"/>
                <w:bCs w:val="0"/>
                <w:color w:val="auto"/>
                <w:sz w:val="21"/>
                <w:szCs w:val="21"/>
                <w:highlight w:val="none"/>
                <w:lang w:val="en-US" w:eastAsia="zh-CN"/>
              </w:rPr>
              <w:t>措施</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cs="宋体"/>
                <w:b w:val="0"/>
                <w:bCs w:val="0"/>
                <w:color w:val="auto"/>
                <w:kern w:val="2"/>
                <w:sz w:val="21"/>
                <w:szCs w:val="21"/>
                <w:highlight w:val="none"/>
                <w:lang w:val="en-US" w:eastAsia="zh-CN"/>
              </w:rPr>
              <w:t>提供的回收处理措施</w:t>
            </w:r>
            <w:r>
              <w:rPr>
                <w:rFonts w:hint="eastAsia" w:ascii="宋体" w:hAnsi="宋体" w:eastAsia="宋体" w:cs="宋体"/>
                <w:b w:val="0"/>
                <w:bCs w:val="0"/>
                <w:color w:val="auto"/>
                <w:sz w:val="21"/>
                <w:szCs w:val="21"/>
                <w:highlight w:val="none"/>
              </w:rPr>
              <w:t>，包括</w:t>
            </w:r>
            <w:r>
              <w:rPr>
                <w:rFonts w:hint="eastAsia" w:ascii="宋体" w:hAnsi="宋体" w:cs="宋体"/>
                <w:b w:val="0"/>
                <w:bCs w:val="0"/>
                <w:color w:val="auto"/>
                <w:sz w:val="21"/>
                <w:szCs w:val="21"/>
                <w:highlight w:val="none"/>
                <w:lang w:val="en-US" w:eastAsia="zh-CN"/>
              </w:rPr>
              <w:t>但不限于运输保障措施</w:t>
            </w:r>
            <w:r>
              <w:rPr>
                <w:rFonts w:hint="eastAsia" w:ascii="宋体" w:hAnsi="宋体" w:cs="宋体"/>
                <w:b w:val="0"/>
                <w:bCs w:val="0"/>
                <w:color w:val="auto"/>
                <w:sz w:val="21"/>
                <w:szCs w:val="21"/>
                <w:highlight w:val="none"/>
                <w:lang w:eastAsia="zh-CN"/>
              </w:rPr>
              <w:t>、无害化处置</w:t>
            </w:r>
            <w:r>
              <w:rPr>
                <w:rFonts w:hint="eastAsia" w:ascii="宋体" w:hAnsi="宋体" w:eastAsia="宋体" w:cs="宋体"/>
                <w:b w:val="0"/>
                <w:bCs w:val="0"/>
                <w:color w:val="auto"/>
                <w:sz w:val="21"/>
                <w:szCs w:val="21"/>
                <w:highlight w:val="none"/>
              </w:rPr>
              <w:t>措施</w:t>
            </w:r>
            <w:r>
              <w:rPr>
                <w:rFonts w:hint="eastAsia" w:ascii="宋体" w:hAnsi="宋体" w:cs="宋体"/>
                <w:b w:val="0"/>
                <w:bCs w:val="0"/>
                <w:color w:val="auto"/>
                <w:sz w:val="21"/>
                <w:szCs w:val="21"/>
                <w:highlight w:val="none"/>
                <w:lang w:val="en-US" w:eastAsia="zh-CN"/>
              </w:rPr>
              <w:t>及</w:t>
            </w:r>
            <w:r>
              <w:rPr>
                <w:rFonts w:hint="eastAsia" w:asciiTheme="minorEastAsia" w:hAnsiTheme="minorEastAsia" w:eastAsiaTheme="minorEastAsia" w:cstheme="minorEastAsia"/>
                <w:snapToGrid w:val="0"/>
                <w:color w:val="000000" w:themeColor="text1"/>
                <w:spacing w:val="11"/>
                <w:kern w:val="0"/>
                <w:sz w:val="21"/>
                <w:szCs w:val="21"/>
                <w:highlight w:val="none"/>
                <w:lang w:val="en-US" w:eastAsia="zh-CN"/>
                <w14:textFill>
                  <w14:solidFill>
                    <w14:schemeClr w14:val="tx1"/>
                  </w14:solidFill>
                </w14:textFill>
              </w:rPr>
              <w:t>再生利用</w:t>
            </w:r>
            <w:r>
              <w:rPr>
                <w:rFonts w:hint="eastAsia" w:ascii="宋体" w:hAnsi="宋体" w:eastAsia="宋体" w:cs="宋体"/>
                <w:b w:val="0"/>
                <w:bCs w:val="0"/>
                <w:color w:val="auto"/>
                <w:sz w:val="21"/>
                <w:szCs w:val="21"/>
                <w:highlight w:val="none"/>
                <w:lang w:val="en-US" w:eastAsia="zh-CN"/>
              </w:rPr>
              <w:t>等进行打分</w:t>
            </w:r>
            <w:r>
              <w:rPr>
                <w:rFonts w:hint="eastAsia" w:ascii="宋体" w:hAnsi="宋体" w:cs="宋体"/>
                <w:b w:val="0"/>
                <w:bCs w:val="0"/>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根据</w:t>
            </w:r>
            <w:r>
              <w:rPr>
                <w:rFonts w:hint="eastAsia" w:ascii="宋体" w:hAnsi="宋体" w:eastAsia="宋体" w:cs="宋体"/>
                <w:b w:val="0"/>
                <w:bCs w:val="0"/>
                <w:color w:val="auto"/>
                <w:sz w:val="21"/>
                <w:szCs w:val="21"/>
                <w:highlight w:val="none"/>
                <w:lang w:val="en-US" w:eastAsia="zh-CN"/>
              </w:rPr>
              <w:t>供应商针对突发情况提供应急服务方案及保障措施</w:t>
            </w:r>
            <w:r>
              <w:rPr>
                <w:rFonts w:hint="eastAsia" w:ascii="宋体" w:hAnsi="宋体" w:cs="宋体"/>
                <w:b w:val="0"/>
                <w:bCs w:val="0"/>
                <w:color w:val="auto"/>
                <w:sz w:val="21"/>
                <w:szCs w:val="21"/>
                <w:highlight w:val="none"/>
                <w:lang w:val="en-US" w:eastAsia="zh-CN"/>
              </w:rPr>
              <w:t>进行打分</w:t>
            </w:r>
            <w:r>
              <w:rPr>
                <w:rFonts w:hint="eastAsia" w:ascii="宋体" w:hAnsi="宋体" w:eastAsia="宋体" w:cs="宋体"/>
                <w:b w:val="0"/>
                <w:bCs w:val="0"/>
                <w:color w:val="auto"/>
                <w:sz w:val="21"/>
                <w:szCs w:val="21"/>
                <w:highlight w:val="none"/>
                <w:lang w:val="en-US" w:eastAsia="zh-CN"/>
              </w:rPr>
              <w:t>，包含（但不限于）以下内容：应急响应流程及响应时间</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应急保障措施（人员、车辆等）。</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商务评价</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1.服务团队</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根据供应商</w:t>
            </w:r>
            <w:r>
              <w:rPr>
                <w:rFonts w:hint="eastAsia" w:ascii="宋体" w:hAnsi="宋体" w:eastAsia="宋体" w:cs="宋体"/>
                <w:color w:val="000000" w:themeColor="text1"/>
                <w:highlight w:val="none"/>
                <w:lang w:val="en-US" w:eastAsia="zh-CN"/>
                <w14:textFill>
                  <w14:solidFill>
                    <w14:schemeClr w14:val="tx1"/>
                  </w14:solidFill>
                </w14:textFill>
              </w:rPr>
              <w:t>服务团队</w:t>
            </w:r>
            <w:r>
              <w:rPr>
                <w:rFonts w:hint="eastAsia" w:ascii="宋体" w:hAnsi="宋体" w:cs="宋体"/>
                <w:color w:val="000000" w:themeColor="text1"/>
                <w:highlight w:val="none"/>
                <w:lang w:val="en-US" w:eastAsia="zh-CN"/>
                <w14:textFill>
                  <w14:solidFill>
                    <w14:schemeClr w14:val="tx1"/>
                  </w14:solidFill>
                </w14:textFill>
              </w:rPr>
              <w:t>人员配备计划、人员岗位职责</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人员培训管理及</w:t>
            </w:r>
            <w:r>
              <w:rPr>
                <w:rFonts w:hint="eastAsia" w:ascii="宋体" w:hAnsi="宋体" w:eastAsia="宋体" w:cs="宋体"/>
                <w:color w:val="000000" w:themeColor="text1"/>
                <w:highlight w:val="none"/>
                <w:lang w:val="en-US" w:eastAsia="zh-CN"/>
                <w14:textFill>
                  <w14:solidFill>
                    <w14:schemeClr w14:val="tx1"/>
                  </w14:solidFill>
                </w14:textFill>
              </w:rPr>
              <w:t>持证上岗</w:t>
            </w:r>
            <w:r>
              <w:rPr>
                <w:rFonts w:hint="eastAsia" w:ascii="宋体" w:hAnsi="宋体" w:cs="宋体"/>
                <w:color w:val="000000" w:themeColor="text1"/>
                <w:highlight w:val="none"/>
                <w:lang w:val="en-US" w:eastAsia="zh-CN"/>
                <w14:textFill>
                  <w14:solidFill>
                    <w14:schemeClr w14:val="tx1"/>
                  </w14:solidFill>
                </w14:textFill>
              </w:rPr>
              <w:t>情况进行打分</w:t>
            </w:r>
            <w:r>
              <w:rPr>
                <w:rFonts w:hint="eastAsia" w:ascii="宋体" w:hAnsi="宋体" w:eastAsia="宋体" w:cs="宋体"/>
                <w:color w:val="000000" w:themeColor="text1"/>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人员配备充足、</w:t>
            </w:r>
            <w:r>
              <w:rPr>
                <w:rFonts w:hint="eastAsia" w:ascii="宋体" w:hAnsi="宋体" w:cs="宋体"/>
                <w:color w:val="000000" w:themeColor="text1"/>
                <w:highlight w:val="none"/>
                <w:lang w:val="en-US" w:eastAsia="zh-CN"/>
                <w14:textFill>
                  <w14:solidFill>
                    <w14:schemeClr w14:val="tx1"/>
                  </w14:solidFill>
                </w14:textFill>
              </w:rPr>
              <w:t>岗位职责明确</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人员</w:t>
            </w:r>
            <w:r>
              <w:rPr>
                <w:rFonts w:hint="eastAsia" w:ascii="宋体" w:hAnsi="宋体" w:cs="宋体"/>
                <w:color w:val="000000" w:themeColor="text1"/>
                <w:highlight w:val="none"/>
                <w:lang w:val="en-US" w:eastAsia="zh-CN"/>
                <w14:textFill>
                  <w14:solidFill>
                    <w14:schemeClr w14:val="tx1"/>
                  </w14:solidFill>
                </w14:textFill>
              </w:rPr>
              <w:t>培训管理制度完善、均</w:t>
            </w:r>
            <w:r>
              <w:rPr>
                <w:rFonts w:hint="eastAsia" w:ascii="宋体" w:hAnsi="宋体" w:eastAsia="宋体" w:cs="宋体"/>
                <w:color w:val="000000" w:themeColor="text1"/>
                <w:highlight w:val="none"/>
                <w:lang w:val="en-US" w:eastAsia="zh-CN"/>
                <w14:textFill>
                  <w14:solidFill>
                    <w14:schemeClr w14:val="tx1"/>
                  </w14:solidFill>
                </w14:textFill>
              </w:rPr>
              <w:t>持证上岗</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的得5分；</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人员配备</w:t>
            </w:r>
            <w:r>
              <w:rPr>
                <w:rFonts w:hint="eastAsia" w:ascii="宋体" w:hAnsi="宋体" w:cs="宋体"/>
                <w:color w:val="000000" w:themeColor="text1"/>
                <w:highlight w:val="none"/>
                <w:lang w:val="en-US" w:eastAsia="zh-CN"/>
                <w14:textFill>
                  <w14:solidFill>
                    <w14:schemeClr w14:val="tx1"/>
                  </w14:solidFill>
                </w14:textFill>
              </w:rPr>
              <w:t>较</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充足、</w:t>
            </w:r>
            <w:r>
              <w:rPr>
                <w:rFonts w:hint="eastAsia" w:ascii="宋体" w:hAnsi="宋体" w:cs="宋体"/>
                <w:color w:val="000000" w:themeColor="text1"/>
                <w:highlight w:val="none"/>
                <w:lang w:val="en-US" w:eastAsia="zh-CN"/>
                <w14:textFill>
                  <w14:solidFill>
                    <w14:schemeClr w14:val="tx1"/>
                  </w14:solidFill>
                </w14:textFill>
              </w:rPr>
              <w:t>岗位职责较明确</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人员</w:t>
            </w:r>
            <w:r>
              <w:rPr>
                <w:rFonts w:hint="eastAsia" w:ascii="宋体" w:hAnsi="宋体" w:cs="宋体"/>
                <w:color w:val="000000" w:themeColor="text1"/>
                <w:highlight w:val="none"/>
                <w:lang w:val="en-US" w:eastAsia="zh-CN"/>
                <w14:textFill>
                  <w14:solidFill>
                    <w14:schemeClr w14:val="tx1"/>
                  </w14:solidFill>
                </w14:textFill>
              </w:rPr>
              <w:t>培训管理制度较完善、能</w:t>
            </w:r>
            <w:r>
              <w:rPr>
                <w:rFonts w:hint="eastAsia" w:ascii="宋体" w:hAnsi="宋体" w:eastAsia="宋体" w:cs="宋体"/>
                <w:color w:val="000000" w:themeColor="text1"/>
                <w:highlight w:val="none"/>
                <w:lang w:val="en-US" w:eastAsia="zh-CN"/>
                <w14:textFill>
                  <w14:solidFill>
                    <w14:schemeClr w14:val="tx1"/>
                  </w14:solidFill>
                </w14:textFill>
              </w:rPr>
              <w:t>持证上岗</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的得3分；</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人员配备数量</w:t>
            </w:r>
            <w:r>
              <w:rPr>
                <w:rFonts w:hint="eastAsia" w:ascii="宋体" w:hAnsi="宋体" w:cs="宋体"/>
                <w:color w:val="000000" w:themeColor="text1"/>
                <w:highlight w:val="none"/>
                <w:lang w:val="en-US" w:eastAsia="zh-CN"/>
                <w14:textFill>
                  <w14:solidFill>
                    <w14:schemeClr w14:val="tx1"/>
                  </w14:solidFill>
                </w14:textFill>
              </w:rPr>
              <w:t>不</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足、</w:t>
            </w:r>
            <w:r>
              <w:rPr>
                <w:rFonts w:hint="eastAsia" w:ascii="宋体" w:hAnsi="宋体" w:cs="宋体"/>
                <w:color w:val="000000" w:themeColor="text1"/>
                <w:highlight w:val="none"/>
                <w:lang w:val="en-US" w:eastAsia="zh-CN"/>
                <w14:textFill>
                  <w14:solidFill>
                    <w14:schemeClr w14:val="tx1"/>
                  </w14:solidFill>
                </w14:textFill>
              </w:rPr>
              <w:t>岗位职责一般</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人员</w:t>
            </w:r>
            <w:r>
              <w:rPr>
                <w:rFonts w:hint="eastAsia" w:ascii="宋体" w:hAnsi="宋体" w:cs="宋体"/>
                <w:color w:val="000000" w:themeColor="text1"/>
                <w:highlight w:val="none"/>
                <w:lang w:val="en-US" w:eastAsia="zh-CN"/>
                <w14:textFill>
                  <w14:solidFill>
                    <w14:schemeClr w14:val="tx1"/>
                  </w14:solidFill>
                </w14:textFill>
              </w:rPr>
              <w:t>培训管理制度一般、能</w:t>
            </w:r>
            <w:r>
              <w:rPr>
                <w:rFonts w:hint="eastAsia" w:ascii="宋体" w:hAnsi="宋体" w:eastAsia="宋体" w:cs="宋体"/>
                <w:color w:val="000000" w:themeColor="text1"/>
                <w:highlight w:val="none"/>
                <w:lang w:val="en-US" w:eastAsia="zh-CN"/>
                <w14:textFill>
                  <w14:solidFill>
                    <w14:schemeClr w14:val="tx1"/>
                  </w14:solidFill>
                </w14:textFill>
              </w:rPr>
              <w:t>持证上岗</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的得1分；缺项得0分。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2.类似业绩（4分）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供应商</w:t>
            </w:r>
            <w:r>
              <w:rPr>
                <w:rFonts w:hint="eastAsia" w:ascii="宋体" w:hAnsi="宋体" w:eastAsia="宋体" w:cs="宋体"/>
                <w:color w:val="000000" w:themeColor="text1"/>
                <w:highlight w:val="none"/>
                <w:lang w:val="en-US" w:eastAsia="zh-CN"/>
                <w14:textFill>
                  <w14:solidFill>
                    <w14:schemeClr w14:val="tx1"/>
                  </w14:solidFill>
                </w14:textFill>
              </w:rPr>
              <w:t>202</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11</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kern w:val="2"/>
                <w:sz w:val="21"/>
                <w:szCs w:val="21"/>
                <w:highlight w:val="none"/>
                <w:lang w:val="en-US" w:eastAsia="zh-CN"/>
              </w:rPr>
              <w:t>，包括售后响应流程、问题反馈、时效、服务方式、服务地点等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供应商提供的售后服务保障措施，包括企业提供本地化服务的措施、</w:t>
            </w:r>
            <w:r>
              <w:rPr>
                <w:rFonts w:hint="eastAsia" w:ascii="宋体" w:hAnsi="宋体" w:eastAsia="宋体" w:cs="宋体"/>
                <w:color w:val="000000" w:themeColor="text1"/>
                <w:highlight w:val="none"/>
                <w14:textFill>
                  <w14:solidFill>
                    <w14:schemeClr w14:val="tx1"/>
                  </w14:solidFill>
                </w14:textFill>
              </w:rPr>
              <w:t>服务到位程度及增值服务</w:t>
            </w:r>
            <w:r>
              <w:rPr>
                <w:rFonts w:hint="eastAsia" w:ascii="宋体" w:hAnsi="宋体" w:cs="宋体"/>
                <w:b w:val="0"/>
                <w:bCs w:val="0"/>
                <w:color w:val="auto"/>
                <w:kern w:val="2"/>
                <w:sz w:val="21"/>
                <w:szCs w:val="21"/>
                <w:highlight w:val="none"/>
                <w:lang w:val="en-US" w:eastAsia="zh-CN"/>
              </w:rPr>
              <w:t>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cs="宋体"/>
                <w:b w:val="0"/>
                <w:bCs w:val="0"/>
                <w:color w:val="auto"/>
                <w:kern w:val="2"/>
                <w:sz w:val="21"/>
                <w:szCs w:val="21"/>
                <w:highlight w:val="none"/>
                <w:lang w:val="en-US" w:eastAsia="zh-CN"/>
              </w:rPr>
              <w:t>保障措施</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noWrap w:val="0"/>
            <w:vAlign w:val="center"/>
          </w:tcPr>
          <w:p>
            <w:p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kern w:val="0"/>
                <w:sz w:val="21"/>
                <w:szCs w:val="21"/>
                <w:highlight w:val="none"/>
                <w:lang w:val="en-US" w:eastAsia="zh-CN"/>
              </w:rPr>
              <w:t>4.重点难点分析</w:t>
            </w:r>
            <w:r>
              <w:rPr>
                <w:rFonts w:hint="eastAsia" w:ascii="宋体" w:hAnsi="宋体" w:eastAsia="宋体" w:cs="宋体"/>
                <w:b w:val="0"/>
                <w:bCs w:val="0"/>
                <w:color w:val="auto"/>
                <w:spacing w:val="-1"/>
                <w:sz w:val="21"/>
                <w:szCs w:val="21"/>
                <w:highlight w:val="none"/>
                <w:lang w:val="en-US" w:eastAsia="zh-CN"/>
              </w:rPr>
              <w:t>（5</w:t>
            </w:r>
            <w:r>
              <w:rPr>
                <w:rFonts w:hint="eastAsia" w:ascii="宋体" w:hAnsi="宋体" w:eastAsia="宋体" w:cs="宋体"/>
                <w:b w:val="0"/>
                <w:bCs w:val="0"/>
                <w:color w:val="auto"/>
                <w:kern w:val="0"/>
                <w:sz w:val="21"/>
                <w:szCs w:val="21"/>
                <w:highlight w:val="none"/>
              </w:rPr>
              <w:t>分</w:t>
            </w:r>
            <w:r>
              <w:rPr>
                <w:rFonts w:hint="eastAsia" w:ascii="宋体" w:hAnsi="宋体" w:eastAsia="宋体" w:cs="宋体"/>
                <w:b w:val="0"/>
                <w:bCs w:val="0"/>
                <w:color w:val="auto"/>
                <w:kern w:val="0"/>
                <w:sz w:val="21"/>
                <w:szCs w:val="21"/>
                <w:highlight w:val="none"/>
                <w:lang w:eastAsia="zh-CN"/>
              </w:rPr>
              <w:t>）</w:t>
            </w:r>
          </w:p>
        </w:tc>
        <w:tc>
          <w:tcPr>
            <w:tcW w:w="6770" w:type="dxa"/>
            <w:noWrap w:val="0"/>
            <w:vAlign w:val="center"/>
          </w:tcPr>
          <w:p>
            <w:pPr>
              <w:keepNext w:val="0"/>
              <w:keepLines w:val="0"/>
              <w:pageBreakBefore w:val="0"/>
              <w:widowControl w:val="0"/>
              <w:kinsoku/>
              <w:wordWrap w:val="0"/>
              <w:overflowPunct/>
              <w:topLinePunct/>
              <w:autoSpaceDE/>
              <w:autoSpaceDN/>
              <w:bidi w:val="0"/>
              <w:adjustRightInd/>
              <w:snapToGrid w:val="0"/>
              <w:spacing w:line="360" w:lineRule="auto"/>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highlight w:val="none"/>
                <w:lang w:val="en-US" w:eastAsia="zh-CN"/>
              </w:rPr>
              <w:t>投标人对项目重难点问题分析全面，解决方案合理可行，优于采购需求得5分；项目重难点问题分析基本全面，解决方案基本合理可行，基本满足采购需求得2分；项目重难点问题进行分析不全面，解决方案一般得1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评标总得分=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所有成员合计评分/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组成人员数。</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000000" w:themeColor="text1"/>
          <w:kern w:val="0"/>
          <w:szCs w:val="21"/>
          <w:highlight w:val="none"/>
          <w14:textFill>
            <w14:solidFill>
              <w14:schemeClr w14:val="tx1"/>
            </w14:solidFill>
          </w14:textFill>
        </w:rPr>
      </w:pPr>
    </w:p>
    <w:p>
      <w:pP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br w:type="page"/>
      </w:r>
    </w:p>
    <w:bookmarkEnd w:id="42"/>
    <w:p>
      <w:pPr>
        <w:rPr>
          <w:color w:val="000000" w:themeColor="text1"/>
          <w:highlight w:val="none"/>
          <w14:textFill>
            <w14:solidFill>
              <w14:schemeClr w14:val="tx1"/>
            </w14:solidFill>
          </w14:textFill>
        </w:rPr>
      </w:pPr>
      <w:bookmarkStart w:id="44" w:name="_Toc1947"/>
      <w:bookmarkStart w:id="45" w:name="_Toc1482"/>
      <w:bookmarkStart w:id="46" w:name="_Toc326786897"/>
      <w:bookmarkStart w:id="47" w:name="_Toc256519703"/>
    </w:p>
    <w:p>
      <w:pPr>
        <w:pStyle w:val="4"/>
        <w:snapToGrid w:val="0"/>
        <w:spacing w:before="0" w:after="0" w:line="480" w:lineRule="auto"/>
        <w:jc w:val="center"/>
        <w:rPr>
          <w:color w:val="000000" w:themeColor="text1"/>
          <w:sz w:val="28"/>
          <w:szCs w:val="28"/>
          <w:highlight w:val="none"/>
          <w14:textFill>
            <w14:solidFill>
              <w14:schemeClr w14:val="tx1"/>
            </w14:solidFill>
          </w14:textFill>
        </w:rPr>
      </w:pPr>
      <w:bookmarkStart w:id="48" w:name="_Toc1638"/>
      <w:r>
        <w:rPr>
          <w:rFonts w:hint="eastAsia"/>
          <w:color w:val="000000" w:themeColor="text1"/>
          <w:sz w:val="28"/>
          <w:szCs w:val="28"/>
          <w:highlight w:val="none"/>
          <w14:textFill>
            <w14:solidFill>
              <w14:schemeClr w14:val="tx1"/>
            </w14:solidFill>
          </w14:textFill>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color w:val="000000" w:themeColor="text1"/>
          <w:sz w:val="21"/>
          <w:szCs w:val="21"/>
          <w:highlight w:val="none"/>
          <w:lang w:eastAsia="zh-CN"/>
          <w14:textFill>
            <w14:solidFill>
              <w14:schemeClr w14:val="tx1"/>
            </w14:solidFill>
          </w14:textFill>
        </w:rPr>
        <w:t>（</w:t>
      </w:r>
      <w:r>
        <w:rPr>
          <w:rFonts w:hint="eastAsia" w:ascii="宋体" w:hAnsi="宋体"/>
          <w:color w:val="000000" w:themeColor="text1"/>
          <w:sz w:val="21"/>
          <w:szCs w:val="21"/>
          <w:highlight w:val="none"/>
          <w:lang w:val="en-US" w:eastAsia="zh-CN"/>
          <w14:textFill>
            <w14:solidFill>
              <w14:schemeClr w14:val="tx1"/>
            </w14:solidFill>
          </w14:textFill>
        </w:rPr>
        <w:t>以实际合同为准</w:t>
      </w:r>
      <w:r>
        <w:rPr>
          <w:rFonts w:hint="eastAsia" w:ascii="宋体" w:hAnsi="宋体"/>
          <w:color w:val="000000" w:themeColor="text1"/>
          <w:sz w:val="21"/>
          <w:szCs w:val="21"/>
          <w:highlight w:val="none"/>
          <w:lang w:eastAsia="zh-CN"/>
          <w14:textFill>
            <w14:solidFill>
              <w14:schemeClr w14:val="tx1"/>
            </w14:solidFill>
          </w14:textFill>
        </w:rPr>
        <w:t>）</w:t>
      </w:r>
    </w:p>
    <w:p>
      <w:pPr>
        <w:rPr>
          <w:color w:val="000000" w:themeColor="text1"/>
          <w:sz w:val="32"/>
          <w:szCs w:val="32"/>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34"/>
        <w:rPr>
          <w:color w:val="000000" w:themeColor="text1"/>
          <w:highlight w:val="none"/>
          <w14:textFill>
            <w14:solidFill>
              <w14:schemeClr w14:val="tx1"/>
            </w14:solidFill>
          </w14:textFill>
        </w:rPr>
      </w:pPr>
    </w:p>
    <w:p>
      <w:pPr>
        <w:pStyle w:val="4"/>
        <w:jc w:val="center"/>
        <w:rPr>
          <w:rFonts w:ascii="宋体" w:hAnsi="宋体" w:cs="宋体"/>
          <w:color w:val="000000" w:themeColor="text1"/>
          <w:kern w:val="0"/>
          <w:highlight w:val="none"/>
          <w14:textFill>
            <w14:solidFill>
              <w14:schemeClr w14:val="tx1"/>
            </w14:solidFill>
          </w14:textFill>
        </w:rPr>
      </w:pPr>
      <w:bookmarkStart w:id="49" w:name="_Toc5963"/>
      <w:r>
        <w:rPr>
          <w:rFonts w:hint="eastAsia"/>
          <w:color w:val="000000" w:themeColor="text1"/>
          <w:sz w:val="32"/>
          <w:szCs w:val="32"/>
          <w:highlight w:val="none"/>
          <w14:textFill>
            <w14:solidFill>
              <w14:schemeClr w14:val="tx1"/>
            </w14:solidFill>
          </w14:textFill>
        </w:rPr>
        <w:t>第六章  投标文件格式</w:t>
      </w:r>
      <w:bookmarkEnd w:id="44"/>
      <w:bookmarkEnd w:id="45"/>
      <w:bookmarkEnd w:id="49"/>
    </w:p>
    <w:p>
      <w:pPr>
        <w:spacing w:line="440" w:lineRule="exact"/>
        <w:rPr>
          <w:color w:val="000000" w:themeColor="text1"/>
          <w:sz w:val="24"/>
          <w:highlight w:val="none"/>
          <w14:textFill>
            <w14:solidFill>
              <w14:schemeClr w14:val="tx1"/>
            </w14:solidFill>
          </w14:textFill>
        </w:rPr>
      </w:pPr>
    </w:p>
    <w:p>
      <w:pPr>
        <w:jc w:val="center"/>
        <w:rPr>
          <w:b/>
          <w:bCs/>
          <w:color w:val="000000" w:themeColor="text1"/>
          <w:sz w:val="32"/>
          <w:szCs w:val="32"/>
          <w:highlight w:val="none"/>
          <w14:textFill>
            <w14:solidFill>
              <w14:schemeClr w14:val="tx1"/>
            </w14:solidFill>
          </w14:textFill>
        </w:rPr>
      </w:pPr>
      <w:bookmarkStart w:id="50" w:name="_Toc13604"/>
      <w:r>
        <w:rPr>
          <w:rFonts w:hint="eastAsia"/>
          <w:b/>
          <w:bCs/>
          <w:color w:val="000000" w:themeColor="text1"/>
          <w:sz w:val="32"/>
          <w:szCs w:val="32"/>
          <w:highlight w:val="none"/>
          <w14:textFill>
            <w14:solidFill>
              <w14:schemeClr w14:val="tx1"/>
            </w14:solidFill>
          </w14:textFill>
        </w:rPr>
        <w:t>目    录</w:t>
      </w:r>
      <w:bookmarkEnd w:id="50"/>
    </w:p>
    <w:p>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pPr>
        <w:snapToGrid w:val="0"/>
        <w:spacing w:line="360" w:lineRule="auto"/>
        <w:ind w:firstLine="480" w:firstLineChars="200"/>
        <w:rPr>
          <w:color w:val="000000" w:themeColor="text1"/>
          <w:sz w:val="24"/>
          <w:highlight w:val="none"/>
          <w14:textFill>
            <w14:solidFill>
              <w14:schemeClr w14:val="tx1"/>
            </w14:solidFill>
          </w14:textFill>
        </w:rPr>
      </w:pPr>
      <w:bookmarkStart w:id="51" w:name="_Toc11308"/>
      <w:r>
        <w:rPr>
          <w:rFonts w:hint="eastAsia"/>
          <w:color w:val="000000" w:themeColor="text1"/>
          <w:sz w:val="24"/>
          <w:highlight w:val="none"/>
          <w14:textFill>
            <w14:solidFill>
              <w14:schemeClr w14:val="tx1"/>
            </w14:solidFill>
          </w14:textFill>
        </w:rPr>
        <w:t>附件1投标文件封面（格式）</w:t>
      </w:r>
      <w:bookmarkEnd w:id="51"/>
    </w:p>
    <w:p>
      <w:pPr>
        <w:snapToGrid w:val="0"/>
        <w:spacing w:line="360" w:lineRule="auto"/>
        <w:ind w:firstLine="480" w:firstLineChars="200"/>
        <w:rPr>
          <w:color w:val="000000" w:themeColor="text1"/>
          <w:sz w:val="24"/>
          <w:highlight w:val="none"/>
          <w14:textFill>
            <w14:solidFill>
              <w14:schemeClr w14:val="tx1"/>
            </w14:solidFill>
          </w14:textFill>
        </w:rPr>
      </w:pPr>
      <w:bookmarkStart w:id="52" w:name="_Toc25345"/>
      <w:r>
        <w:rPr>
          <w:rFonts w:hint="eastAsia"/>
          <w:color w:val="000000" w:themeColor="text1"/>
          <w:sz w:val="24"/>
          <w:highlight w:val="none"/>
          <w14:textFill>
            <w14:solidFill>
              <w14:schemeClr w14:val="tx1"/>
            </w14:solidFill>
          </w14:textFill>
        </w:rPr>
        <w:t>附件2 投标书（格式）</w:t>
      </w:r>
      <w:bookmarkEnd w:id="52"/>
    </w:p>
    <w:p>
      <w:pPr>
        <w:snapToGrid w:val="0"/>
        <w:spacing w:line="360" w:lineRule="auto"/>
        <w:ind w:firstLine="480" w:firstLineChars="200"/>
        <w:rPr>
          <w:color w:val="000000" w:themeColor="text1"/>
          <w:sz w:val="24"/>
          <w:highlight w:val="none"/>
          <w14:textFill>
            <w14:solidFill>
              <w14:schemeClr w14:val="tx1"/>
            </w14:solidFill>
          </w14:textFill>
        </w:rPr>
      </w:pPr>
      <w:bookmarkStart w:id="53" w:name="_Toc10217"/>
      <w:r>
        <w:rPr>
          <w:rFonts w:hint="eastAsia"/>
          <w:color w:val="000000" w:themeColor="text1"/>
          <w:sz w:val="24"/>
          <w:highlight w:val="none"/>
          <w14:textFill>
            <w14:solidFill>
              <w14:schemeClr w14:val="tx1"/>
            </w14:solidFill>
          </w14:textFill>
        </w:rPr>
        <w:t>附件3 开标一览表（格式）</w:t>
      </w:r>
      <w:bookmarkEnd w:id="53"/>
    </w:p>
    <w:p>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4" w:name="_Toc9579"/>
      <w:r>
        <w:rPr>
          <w:rFonts w:hint="eastAsia"/>
          <w:color w:val="000000" w:themeColor="text1"/>
          <w:sz w:val="24"/>
          <w:highlight w:val="none"/>
          <w14:textFill>
            <w14:solidFill>
              <w14:schemeClr w14:val="tx1"/>
            </w14:solidFill>
          </w14:textFill>
        </w:rPr>
        <w:t xml:space="preserve">附件4 </w:t>
      </w:r>
      <w:bookmarkEnd w:id="54"/>
      <w:r>
        <w:rPr>
          <w:rFonts w:hint="eastAsia"/>
          <w:color w:val="000000" w:themeColor="text1"/>
          <w:sz w:val="24"/>
          <w:highlight w:val="none"/>
          <w:lang w:val="en-US" w:eastAsia="zh-CN"/>
          <w14:textFill>
            <w14:solidFill>
              <w14:schemeClr w14:val="tx1"/>
            </w14:solidFill>
          </w14:textFill>
        </w:rPr>
        <w:t>报价明细表（格式）</w:t>
      </w:r>
    </w:p>
    <w:p>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5" w:name="_Toc28392"/>
      <w:r>
        <w:rPr>
          <w:rFonts w:hint="eastAsia"/>
          <w:color w:val="000000" w:themeColor="text1"/>
          <w:sz w:val="24"/>
          <w:highlight w:val="none"/>
          <w14:textFill>
            <w14:solidFill>
              <w14:schemeClr w14:val="tx1"/>
            </w14:solidFill>
          </w14:textFill>
        </w:rPr>
        <w:t>附件5</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技术</w:t>
      </w:r>
      <w:r>
        <w:rPr>
          <w:rFonts w:hint="eastAsia"/>
          <w:color w:val="000000" w:themeColor="text1"/>
          <w:sz w:val="24"/>
          <w:highlight w:val="none"/>
          <w:lang w:val="en-US" w:eastAsia="zh-CN"/>
          <w14:textFill>
            <w14:solidFill>
              <w14:schemeClr w14:val="tx1"/>
            </w14:solidFill>
          </w14:textFill>
        </w:rPr>
        <w:t>响应</w:t>
      </w:r>
      <w:bookmarkEnd w:id="55"/>
      <w:r>
        <w:rPr>
          <w:rFonts w:hint="eastAsia"/>
          <w:color w:val="000000" w:themeColor="text1"/>
          <w:sz w:val="24"/>
          <w:highlight w:val="none"/>
          <w:lang w:val="en-US" w:eastAsia="zh-CN"/>
          <w14:textFill>
            <w14:solidFill>
              <w14:schemeClr w14:val="tx1"/>
            </w14:solidFill>
          </w14:textFill>
        </w:rPr>
        <w:t>表（格式）</w:t>
      </w:r>
    </w:p>
    <w:p>
      <w:pPr>
        <w:snapToGrid w:val="0"/>
        <w:spacing w:line="360" w:lineRule="auto"/>
        <w:ind w:firstLine="480" w:firstLineChars="200"/>
        <w:rPr>
          <w:rFonts w:hint="default" w:eastAsia="宋体"/>
          <w:color w:val="000000" w:themeColor="text1"/>
          <w:sz w:val="24"/>
          <w:highlight w:val="none"/>
          <w:lang w:val="en-US" w:eastAsia="zh-CN"/>
          <w14:textFill>
            <w14:solidFill>
              <w14:schemeClr w14:val="tx1"/>
            </w14:solidFill>
          </w14:textFill>
        </w:rPr>
      </w:pPr>
      <w:bookmarkStart w:id="56" w:name="_Toc6234"/>
      <w:r>
        <w:rPr>
          <w:rFonts w:hint="eastAsia"/>
          <w:color w:val="000000" w:themeColor="text1"/>
          <w:sz w:val="24"/>
          <w:highlight w:val="none"/>
          <w14:textFill>
            <w14:solidFill>
              <w14:schemeClr w14:val="tx1"/>
            </w14:solidFill>
          </w14:textFill>
        </w:rPr>
        <w:t>附件6 商务</w:t>
      </w:r>
      <w:bookmarkEnd w:id="56"/>
      <w:r>
        <w:rPr>
          <w:rFonts w:hint="eastAsia"/>
          <w:color w:val="000000" w:themeColor="text1"/>
          <w:sz w:val="24"/>
          <w:highlight w:val="none"/>
          <w:lang w:val="en-US" w:eastAsia="zh-CN"/>
          <w14:textFill>
            <w14:solidFill>
              <w14:schemeClr w14:val="tx1"/>
            </w14:solidFill>
          </w14:textFill>
        </w:rPr>
        <w:t>响应</w:t>
      </w:r>
    </w:p>
    <w:p>
      <w:pPr>
        <w:snapToGrid w:val="0"/>
        <w:spacing w:line="360" w:lineRule="auto"/>
        <w:ind w:firstLine="480" w:firstLineChars="200"/>
        <w:rPr>
          <w:color w:val="000000" w:themeColor="text1"/>
          <w:sz w:val="24"/>
          <w:highlight w:val="none"/>
          <w14:textFill>
            <w14:solidFill>
              <w14:schemeClr w14:val="tx1"/>
            </w14:solidFill>
          </w14:textFill>
        </w:rPr>
      </w:pPr>
      <w:bookmarkStart w:id="57" w:name="_Toc26231"/>
      <w:r>
        <w:rPr>
          <w:rFonts w:hint="eastAsia"/>
          <w:color w:val="000000" w:themeColor="text1"/>
          <w:sz w:val="24"/>
          <w:highlight w:val="none"/>
          <w14:textFill>
            <w14:solidFill>
              <w14:schemeClr w14:val="tx1"/>
            </w14:solidFill>
          </w14:textFill>
        </w:rPr>
        <w:t>附件7</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法定代表人身份证明（格式）</w:t>
      </w:r>
      <w:bookmarkEnd w:id="57"/>
    </w:p>
    <w:p>
      <w:pPr>
        <w:snapToGrid w:val="0"/>
        <w:spacing w:line="360" w:lineRule="auto"/>
        <w:ind w:firstLine="480" w:firstLineChars="200"/>
        <w:rPr>
          <w:color w:val="000000" w:themeColor="text1"/>
          <w:sz w:val="24"/>
          <w:highlight w:val="none"/>
          <w14:textFill>
            <w14:solidFill>
              <w14:schemeClr w14:val="tx1"/>
            </w14:solidFill>
          </w14:textFill>
        </w:rPr>
      </w:pPr>
      <w:bookmarkStart w:id="58" w:name="_Toc18484"/>
      <w:r>
        <w:rPr>
          <w:rFonts w:hint="eastAsia"/>
          <w:color w:val="000000" w:themeColor="text1"/>
          <w:sz w:val="24"/>
          <w:highlight w:val="none"/>
          <w14:textFill>
            <w14:solidFill>
              <w14:schemeClr w14:val="tx1"/>
            </w14:solidFill>
          </w14:textFill>
        </w:rPr>
        <w:t>附件8</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法定代表人授权书（格式）</w:t>
      </w:r>
      <w:bookmarkEnd w:id="58"/>
    </w:p>
    <w:p>
      <w:pPr>
        <w:snapToGrid w:val="0"/>
        <w:spacing w:line="360" w:lineRule="auto"/>
        <w:ind w:firstLine="480" w:firstLineChars="200"/>
        <w:rPr>
          <w:color w:val="000000" w:themeColor="text1"/>
          <w:sz w:val="24"/>
          <w:highlight w:val="none"/>
          <w14:textFill>
            <w14:solidFill>
              <w14:schemeClr w14:val="tx1"/>
            </w14:solidFill>
          </w14:textFill>
        </w:rPr>
      </w:pPr>
      <w:bookmarkStart w:id="59" w:name="_Toc31857"/>
      <w:r>
        <w:rPr>
          <w:rFonts w:hint="eastAsia"/>
          <w:color w:val="000000" w:themeColor="text1"/>
          <w:sz w:val="24"/>
          <w:highlight w:val="none"/>
          <w14:textFill>
            <w14:solidFill>
              <w14:schemeClr w14:val="tx1"/>
            </w14:solidFill>
          </w14:textFill>
        </w:rPr>
        <w:t>附件9 证明文件</w:t>
      </w:r>
      <w:bookmarkEnd w:id="59"/>
    </w:p>
    <w:p>
      <w:pPr>
        <w:snapToGrid w:val="0"/>
        <w:spacing w:line="360" w:lineRule="auto"/>
        <w:ind w:firstLine="480" w:firstLineChars="200"/>
        <w:rPr>
          <w:rFonts w:hint="eastAsia"/>
          <w:color w:val="000000" w:themeColor="text1"/>
          <w:sz w:val="24"/>
          <w:highlight w:val="none"/>
          <w14:textFill>
            <w14:solidFill>
              <w14:schemeClr w14:val="tx1"/>
            </w14:solidFill>
          </w14:textFill>
        </w:rPr>
      </w:pPr>
      <w:bookmarkStart w:id="60" w:name="_Toc23116"/>
      <w:r>
        <w:rPr>
          <w:rFonts w:hint="eastAsia"/>
          <w:color w:val="000000" w:themeColor="text1"/>
          <w:sz w:val="24"/>
          <w:highlight w:val="none"/>
          <w14:textFill>
            <w14:solidFill>
              <w14:schemeClr w14:val="tx1"/>
            </w14:solidFill>
          </w14:textFill>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附件11 供应商信用承诺函（格式）</w:t>
      </w:r>
    </w:p>
    <w:p>
      <w:pPr>
        <w:pStyle w:val="34"/>
        <w:rPr>
          <w:rFonts w:hint="eastAsia"/>
          <w:color w:val="000000" w:themeColor="text1"/>
          <w:highlight w:val="none"/>
          <w14:textFill>
            <w14:solidFill>
              <w14:schemeClr w14:val="tx1"/>
            </w14:solidFill>
          </w14:textFill>
        </w:rPr>
      </w:pPr>
    </w:p>
    <w:p>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pPr>
        <w:pStyle w:val="5"/>
        <w:rPr>
          <w:rFonts w:ascii="宋体" w:hAnsi="宋体" w:cs="宋体"/>
          <w:b/>
          <w:bCs/>
          <w:color w:val="000000" w:themeColor="text1"/>
          <w:kern w:val="0"/>
          <w:sz w:val="24"/>
          <w:highlight w:val="none"/>
          <w14:textFill>
            <w14:solidFill>
              <w14:schemeClr w14:val="tx1"/>
            </w14:solidFill>
          </w14:textFill>
        </w:rPr>
      </w:pPr>
    </w:p>
    <w:p>
      <w:pPr>
        <w:pStyle w:val="6"/>
        <w:rPr>
          <w:rFonts w:hAnsi="宋体"/>
          <w:b/>
          <w:bCs/>
          <w:color w:val="000000" w:themeColor="text1"/>
          <w:highlight w:val="none"/>
          <w14:textFill>
            <w14:solidFill>
              <w14:schemeClr w14:val="tx1"/>
            </w14:solidFill>
          </w14:textFill>
        </w:rPr>
      </w:pPr>
    </w:p>
    <w:p>
      <w:pPr>
        <w:pStyle w:val="6"/>
        <w:rPr>
          <w:rFonts w:hAnsi="宋体"/>
          <w:b/>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29"/>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bookmarkStart w:id="61" w:name="_Toc24743"/>
      <w:bookmarkStart w:id="62" w:name="_Toc31798"/>
      <w:r>
        <w:rPr>
          <w:rFonts w:hint="eastAsia"/>
          <w:color w:val="000000" w:themeColor="text1"/>
          <w:highlight w:val="none"/>
          <w14:textFill>
            <w14:solidFill>
              <w14:schemeClr w14:val="tx1"/>
            </w14:solidFill>
          </w14:textFill>
        </w:rPr>
        <w:t>附件1               投标文件封面（格式）</w:t>
      </w:r>
      <w:bookmarkEnd w:id="61"/>
      <w:bookmarkEnd w:id="62"/>
    </w:p>
    <w:p>
      <w:pPr>
        <w:widowControl/>
        <w:wordWrap w:val="0"/>
        <w:spacing w:line="460" w:lineRule="exact"/>
        <w:ind w:firstLine="482" w:firstLineChars="200"/>
        <w:jc w:val="center"/>
        <w:rPr>
          <w:rFonts w:ascii="宋体" w:hAnsi="宋体" w:cs="宋体"/>
          <w:b/>
          <w:color w:val="000000" w:themeColor="text1"/>
          <w:kern w:val="0"/>
          <w:sz w:val="24"/>
          <w:highlight w:val="none"/>
          <w14:textFill>
            <w14:solidFill>
              <w14:schemeClr w14:val="tx1"/>
            </w14:solidFill>
          </w14:textFill>
        </w:rPr>
      </w:pPr>
    </w:p>
    <w:p>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驻马店</w:t>
      </w:r>
      <w:r>
        <w:rPr>
          <w:rFonts w:hint="eastAsia" w:ascii="宋体" w:hAnsi="宋体" w:cs="宋体"/>
          <w:b/>
          <w:snapToGrid w:val="0"/>
          <w:color w:val="000000" w:themeColor="text1"/>
          <w:spacing w:val="0"/>
          <w:kern w:val="0"/>
          <w:sz w:val="44"/>
          <w:szCs w:val="44"/>
          <w:highlight w:val="none"/>
          <w:u w:val="none"/>
          <w:lang w:val="en-US" w:eastAsia="zh-CN"/>
          <w14:textFill>
            <w14:solidFill>
              <w14:schemeClr w14:val="tx1"/>
            </w14:solidFill>
          </w14:textFill>
        </w:rPr>
        <w:t>市</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中心医院</w:t>
      </w:r>
      <w:r>
        <w:rPr>
          <w:rFonts w:hint="eastAsia" w:ascii="宋体" w:hAnsi="宋体" w:eastAsia="宋体" w:cs="宋体"/>
          <w:b/>
          <w:snapToGrid w:val="0"/>
          <w:color w:val="000000" w:themeColor="text1"/>
          <w:spacing w:val="0"/>
          <w:kern w:val="0"/>
          <w:sz w:val="44"/>
          <w:szCs w:val="44"/>
          <w:highlight w:val="none"/>
          <w:u w:val="single"/>
          <w:lang w:val="en-US" w:eastAsia="zh-CN"/>
          <w14:textFill>
            <w14:solidFill>
              <w14:schemeClr w14:val="tx1"/>
            </w14:solidFill>
          </w14:textFill>
        </w:rPr>
        <w:t xml:space="preserve">      </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项目</w:t>
      </w:r>
    </w:p>
    <w:p>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color w:val="000000" w:themeColor="text1"/>
          <w:spacing w:val="90"/>
          <w:sz w:val="52"/>
          <w:szCs w:val="52"/>
          <w:highlight w:val="none"/>
          <w14:textFill>
            <w14:solidFill>
              <w14:schemeClr w14:val="tx1"/>
            </w14:solidFill>
          </w14:textFill>
        </w:rPr>
        <w:t>投标文件</w:t>
      </w: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pStyle w:val="6"/>
        <w:spacing w:line="360" w:lineRule="auto"/>
        <w:rPr>
          <w:rFonts w:hint="eastAsia" w:ascii="宋体" w:hAnsi="宋体" w:eastAsia="宋体" w:cs="宋体"/>
          <w:color w:val="000000" w:themeColor="text1"/>
          <w:highlight w:val="none"/>
          <w14:textFill>
            <w14:solidFill>
              <w14:schemeClr w14:val="tx1"/>
            </w14:solidFill>
          </w14:textFill>
        </w:rPr>
      </w:pPr>
    </w:p>
    <w:p>
      <w:pPr>
        <w:pStyle w:val="6"/>
        <w:spacing w:line="360" w:lineRule="auto"/>
        <w:rPr>
          <w:rFonts w:hint="eastAsia" w:ascii="宋体" w:hAnsi="宋体" w:eastAsia="宋体" w:cs="宋体"/>
          <w:color w:val="000000" w:themeColor="text1"/>
          <w:highlight w:val="none"/>
          <w14:textFill>
            <w14:solidFill>
              <w14:schemeClr w14:val="tx1"/>
            </w14:solidFill>
          </w14:textFill>
        </w:rPr>
      </w:pP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spacing w:line="360" w:lineRule="auto"/>
        <w:rPr>
          <w:rFonts w:hint="eastAsia" w:ascii="宋体" w:hAnsi="宋体" w:eastAsia="宋体" w:cs="宋体"/>
          <w:color w:val="000000" w:themeColor="text1"/>
          <w:sz w:val="28"/>
          <w:highlight w:val="none"/>
          <w14:textFill>
            <w14:solidFill>
              <w14:schemeClr w14:val="tx1"/>
            </w14:solidFill>
          </w14:textFill>
        </w:rPr>
      </w:pPr>
    </w:p>
    <w:p>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eastAsia="zh-CN"/>
          <w14:textFill>
            <w14:solidFill>
              <w14:schemeClr w14:val="tx1"/>
            </w14:solidFill>
          </w14:textFill>
        </w:rPr>
        <w:t>全称并</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w:t>
      </w:r>
      <w:r>
        <w:rPr>
          <w:rFonts w:hint="eastAsia" w:ascii="宋体" w:hAnsi="宋体" w:cs="宋体"/>
          <w:color w:val="000000" w:themeColor="text1"/>
          <w:sz w:val="28"/>
          <w:szCs w:val="28"/>
          <w:highlight w:val="none"/>
          <w:lang w:val="en-US" w:eastAsia="zh-CN"/>
          <w14:textFill>
            <w14:solidFill>
              <w14:schemeClr w14:val="tx1"/>
            </w14:solidFill>
          </w14:textFill>
        </w:rPr>
        <w:t>签字或</w:t>
      </w:r>
      <w:r>
        <w:rPr>
          <w:rFonts w:hint="eastAsia" w:ascii="宋体" w:hAnsi="宋体" w:eastAsia="宋体" w:cs="宋体"/>
          <w:color w:val="000000" w:themeColor="text1"/>
          <w:sz w:val="28"/>
          <w:szCs w:val="28"/>
          <w:highlight w:val="none"/>
          <w:lang w:eastAsia="zh-CN"/>
          <w14:textFill>
            <w14:solidFill>
              <w14:schemeClr w14:val="tx1"/>
            </w14:solidFill>
          </w14:textFill>
        </w:rPr>
        <w:t>盖</w:t>
      </w:r>
      <w:r>
        <w:rPr>
          <w:rFonts w:hint="eastAsia" w:ascii="宋体" w:hAnsi="宋体" w:cs="宋体"/>
          <w:color w:val="000000" w:themeColor="text1"/>
          <w:sz w:val="28"/>
          <w:szCs w:val="28"/>
          <w:highlight w:val="none"/>
          <w:lang w:val="en-US" w:eastAsia="zh-CN"/>
          <w14:textFill>
            <w14:solidFill>
              <w14:schemeClr w14:val="tx1"/>
            </w14:solidFill>
          </w14:textFill>
        </w:rPr>
        <w:t>章</w:t>
      </w:r>
      <w:r>
        <w:rPr>
          <w:rFonts w:hint="eastAsia" w:ascii="宋体" w:hAnsi="宋体" w:eastAsia="宋体" w:cs="宋体"/>
          <w:color w:val="000000" w:themeColor="text1"/>
          <w:sz w:val="28"/>
          <w:szCs w:val="28"/>
          <w:highlight w:val="none"/>
          <w14:textFill>
            <w14:solidFill>
              <w14:schemeClr w14:val="tx1"/>
            </w14:solidFill>
          </w14:textFill>
        </w:rPr>
        <w:t>）</w:t>
      </w:r>
    </w:p>
    <w:p>
      <w:pPr>
        <w:widowControl/>
        <w:wordWrap w:val="0"/>
        <w:spacing w:line="460" w:lineRule="exact"/>
        <w:ind w:left="0" w:leftChars="0" w:firstLine="0" w:firstLineChars="0"/>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年   月   日</w:t>
      </w:r>
    </w:p>
    <w:p>
      <w:pPr>
        <w:widowControl/>
        <w:wordWrap w:val="0"/>
        <w:spacing w:line="460" w:lineRule="exact"/>
        <w:ind w:firstLine="482" w:firstLineChars="200"/>
        <w:jc w:val="left"/>
        <w:rPr>
          <w:rFonts w:ascii="宋体" w:hAnsi="宋体" w:cs="宋体"/>
          <w:b/>
          <w:color w:val="000000" w:themeColor="text1"/>
          <w:kern w:val="0"/>
          <w:sz w:val="24"/>
          <w:highlight w:val="none"/>
          <w14:textFill>
            <w14:solidFill>
              <w14:schemeClr w14:val="tx1"/>
            </w14:solidFill>
          </w14:textFill>
        </w:rPr>
      </w:pPr>
    </w:p>
    <w:p>
      <w:pPr>
        <w:pStyle w:val="5"/>
        <w:rPr>
          <w:rFonts w:ascii="宋体" w:hAnsi="宋体" w:cs="宋体"/>
          <w:b/>
          <w:color w:val="000000" w:themeColor="text1"/>
          <w:kern w:val="0"/>
          <w:sz w:val="24"/>
          <w:highlight w:val="none"/>
          <w14:textFill>
            <w14:solidFill>
              <w14:schemeClr w14:val="tx1"/>
            </w14:solidFill>
          </w14:textFill>
        </w:rPr>
      </w:pPr>
    </w:p>
    <w:p>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pPr>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bookmarkStart w:id="63" w:name="_Toc14560"/>
      <w:bookmarkStart w:id="64" w:name="_Toc8818"/>
      <w:r>
        <w:rPr>
          <w:rFonts w:hint="eastAsia"/>
          <w:color w:val="000000" w:themeColor="text1"/>
          <w:highlight w:val="none"/>
          <w14:textFill>
            <w14:solidFill>
              <w14:schemeClr w14:val="tx1"/>
            </w14:solidFill>
          </w14:textFill>
        </w:rPr>
        <w:t>附件2               投  标  书（格式）</w:t>
      </w:r>
      <w:bookmarkEnd w:id="63"/>
      <w:bookmarkEnd w:id="64"/>
    </w:p>
    <w:p>
      <w:pPr>
        <w:widowControl/>
        <w:wordWrap w:val="0"/>
        <w:snapToGrid w:val="0"/>
        <w:spacing w:line="46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致：</w:t>
      </w:r>
      <w:r>
        <w:rPr>
          <w:rFonts w:hint="eastAsia" w:ascii="宋体" w:hAnsi="宋体" w:cs="宋体"/>
          <w:color w:val="000000" w:themeColor="text1"/>
          <w:kern w:val="0"/>
          <w:szCs w:val="21"/>
          <w:highlight w:val="none"/>
          <w:u w:val="single"/>
          <w14:textFill>
            <w14:solidFill>
              <w14:schemeClr w14:val="tx1"/>
            </w14:solidFill>
          </w14:textFill>
        </w:rPr>
        <w:t xml:space="preserve"> （</w:t>
      </w:r>
      <w:r>
        <w:rPr>
          <w:rFonts w:hint="eastAsia" w:ascii="宋体" w:hAnsi="宋体" w:cs="宋体"/>
          <w:color w:val="000000" w:themeColor="text1"/>
          <w:kern w:val="0"/>
          <w:szCs w:val="21"/>
          <w:highlight w:val="none"/>
          <w:u w:val="single"/>
          <w:lang w:eastAsia="zh-CN"/>
          <w14:textFill>
            <w14:solidFill>
              <w14:schemeClr w14:val="tx1"/>
            </w14:solidFill>
          </w14:textFill>
        </w:rPr>
        <w:t>采购人</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w:t>
      </w:r>
    </w:p>
    <w:p>
      <w:pPr>
        <w:widowControl/>
        <w:wordWrap w:val="0"/>
        <w:spacing w:line="460" w:lineRule="exact"/>
        <w:ind w:firstLine="525" w:firstLineChars="25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14:textFill>
            <w14:solidFill>
              <w14:schemeClr w14:val="tx1"/>
            </w14:solidFill>
          </w14:textFill>
        </w:rPr>
        <w:t>（</w:t>
      </w:r>
      <w:r>
        <w:rPr>
          <w:rFonts w:hint="eastAsia" w:ascii="宋体" w:hAnsi="宋体" w:cs="宋体"/>
          <w:color w:val="000000" w:themeColor="text1"/>
          <w:kern w:val="0"/>
          <w:szCs w:val="21"/>
          <w:highlight w:val="none"/>
          <w:u w:val="single"/>
          <w:lang w:eastAsia="zh-CN"/>
          <w14:textFill>
            <w14:solidFill>
              <w14:schemeClr w14:val="tx1"/>
            </w14:solidFill>
          </w14:textFill>
        </w:rPr>
        <w:t>供应商</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 xml:space="preserve">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（姓名）为我方代理人，参加贵方组织的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项目的投标。现正式提交下述文件1份：</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1、开标一览表。</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2、报价明细表。</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4、技术响应表。</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、商务响应表。</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、证明文件。</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1、我方承诺已经具备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文件中规定的参加政府采购活动的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应当具备的条件。我方愿意向贵方提供任何与本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4、我方已详细审查全部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文件，包括修改文件（如有的话）和有关附件，将自行承担因对全部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文件理解不正确或误解而产生的相应后果。</w:t>
      </w:r>
    </w:p>
    <w:p>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5、我方保证尊重</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的评标结果，完全理解本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项目最低投标价不作为中标的保证。</w:t>
      </w:r>
    </w:p>
    <w:p>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6、我方理解并遵守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文件的全部规定，接受</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文件中政府采购合同的全部条款且无任何异议。</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7、如果我方代表</w:t>
      </w:r>
      <w:r>
        <w:rPr>
          <w:rFonts w:hint="eastAsia" w:ascii="宋体" w:hAnsi="宋体" w:cs="宋体"/>
          <w:bCs/>
          <w:color w:val="000000" w:themeColor="text1"/>
          <w:kern w:val="0"/>
          <w:szCs w:val="21"/>
          <w:highlight w:val="none"/>
          <w14:textFill>
            <w14:solidFill>
              <w14:schemeClr w14:val="tx1"/>
            </w14:solidFill>
          </w14:textFill>
        </w:rPr>
        <w:t>未按时参加开标的，视同放弃开标监督权利，认可开标结果。</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8、如果我方存在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.4.3项所述情况，同意我方投标被作为无效投标处理。</w:t>
      </w:r>
    </w:p>
    <w:p>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.5项所述情况，同意</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11、如果现场变更采购方式，我方同意在不改变</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12、如果被确定为中标供应商，我方同意按</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13、如果被确定为中标供应商，我方同意在领取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之日起</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30  </w:t>
      </w:r>
      <w:r>
        <w:rPr>
          <w:rFonts w:hint="eastAsia" w:ascii="宋体" w:hAnsi="宋体" w:cs="宋体"/>
          <w:color w:val="000000" w:themeColor="text1"/>
          <w:kern w:val="0"/>
          <w:szCs w:val="21"/>
          <w:highlight w:val="none"/>
          <w14:textFill>
            <w14:solidFill>
              <w14:schemeClr w14:val="tx1"/>
            </w14:solidFill>
          </w14:textFill>
        </w:rPr>
        <w:t>日内，按照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14、我方最近3年内的被公开披露或查处的违法违规行为有：</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w:t>
      </w:r>
    </w:p>
    <w:p>
      <w:pPr>
        <w:widowControl/>
        <w:tabs>
          <w:tab w:val="left" w:pos="939"/>
        </w:tabs>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15、以上事项如有虚假或隐瞒，我方愿意承担一切后果和责任。</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地址：  邮编：</w:t>
      </w:r>
    </w:p>
    <w:p>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电话：  传真： </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pPr>
        <w:widowControl/>
        <w:wordWrap w:val="0"/>
        <w:spacing w:line="460" w:lineRule="exact"/>
        <w:ind w:firstLine="735" w:firstLineChars="35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s="宋体"/>
          <w:color w:val="000000" w:themeColor="text1"/>
          <w:kern w:val="0"/>
          <w:szCs w:val="21"/>
          <w:highlight w:val="none"/>
          <w14:textFill>
            <w14:solidFill>
              <w14:schemeClr w14:val="tx1"/>
            </w14:solidFill>
          </w14:textFill>
        </w:rPr>
        <w:t xml:space="preserve">： </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：（全称并加盖公章）</w:t>
      </w:r>
    </w:p>
    <w:p>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pPr>
        <w:widowControl/>
        <w:snapToGrid w:val="0"/>
        <w:spacing w:line="460" w:lineRule="exact"/>
        <w:ind w:firstLine="3360" w:firstLineChars="16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年    月   日 </w:t>
      </w:r>
    </w:p>
    <w:p>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pPr>
        <w:spacing w:line="500" w:lineRule="exact"/>
        <w:jc w:val="center"/>
        <w:rPr>
          <w:rFonts w:ascii="宋体" w:hAnsi="宋体"/>
          <w:b/>
          <w:bCs/>
          <w:color w:val="000000" w:themeColor="text1"/>
          <w:sz w:val="24"/>
          <w:highlight w:val="none"/>
          <w14:textFill>
            <w14:solidFill>
              <w14:schemeClr w14:val="tx1"/>
            </w14:solidFill>
          </w14:textFill>
        </w:rPr>
      </w:pPr>
    </w:p>
    <w:p>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br w:type="page"/>
      </w:r>
    </w:p>
    <w:p>
      <w:pPr>
        <w:rPr>
          <w:color w:val="000000" w:themeColor="text1"/>
          <w:highlight w:val="none"/>
          <w14:textFill>
            <w14:solidFill>
              <w14:schemeClr w14:val="tx1"/>
            </w14:solidFill>
          </w14:textFill>
        </w:rPr>
      </w:pPr>
    </w:p>
    <w:p>
      <w:pPr>
        <w:pStyle w:val="8"/>
        <w:spacing w:before="20" w:after="20"/>
        <w:rPr>
          <w:rFonts w:hint="eastAsia" w:eastAsia="黑体"/>
          <w:color w:val="000000" w:themeColor="text1"/>
          <w:highlight w:val="none"/>
          <w:lang w:eastAsia="zh-CN"/>
          <w14:textFill>
            <w14:solidFill>
              <w14:schemeClr w14:val="tx1"/>
            </w14:solidFill>
          </w14:textFill>
        </w:rPr>
      </w:pPr>
      <w:bookmarkStart w:id="65" w:name="_Toc7838"/>
      <w:r>
        <w:rPr>
          <w:rFonts w:hint="eastAsia"/>
          <w:color w:val="000000" w:themeColor="text1"/>
          <w:highlight w:val="none"/>
          <w14:textFill>
            <w14:solidFill>
              <w14:schemeClr w14:val="tx1"/>
            </w14:solidFill>
          </w14:textFill>
        </w:rPr>
        <w:t>附件3               开标一览表</w:t>
      </w:r>
      <w:bookmarkEnd w:id="65"/>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pPr>
        <w:spacing w:line="239" w:lineRule="auto"/>
        <w:jc w:val="right"/>
        <w:rPr>
          <w:rFonts w:hint="default" w:ascii="宋体" w:hAnsi="宋体"/>
          <w:color w:val="000000" w:themeColor="text1"/>
          <w:sz w:val="24"/>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单位：人民币</w:t>
      </w:r>
      <w:r>
        <w:rPr>
          <w:rFonts w:hint="eastAsia"/>
          <w:color w:val="000000" w:themeColor="text1"/>
          <w:sz w:val="24"/>
          <w:highlight w:val="none"/>
          <w:lang w:val="en-US" w:eastAsia="zh-CN"/>
          <w14:textFill>
            <w14:solidFill>
              <w14:schemeClr w14:val="tx1"/>
            </w14:solidFill>
          </w14:textFill>
        </w:rPr>
        <w:t>元</w:t>
      </w:r>
    </w:p>
    <w:p>
      <w:pPr>
        <w:rPr>
          <w:color w:val="000000" w:themeColor="text1"/>
          <w:highlight w:val="none"/>
          <w14:textFill>
            <w14:solidFill>
              <w14:schemeClr w14:val="tx1"/>
            </w14:solidFill>
          </w14:textFill>
        </w:rPr>
      </w:pPr>
    </w:p>
    <w:tbl>
      <w:tblPr>
        <w:tblStyle w:val="35"/>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7708" w:type="dxa"/>
            <w:noWrap/>
            <w:vAlign w:val="center"/>
          </w:tcPr>
          <w:p>
            <w:pPr>
              <w:rPr>
                <w:rFonts w:ascii="宋体" w:hAnsi="宋体"/>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名称</w:t>
            </w:r>
          </w:p>
        </w:tc>
        <w:tc>
          <w:tcPr>
            <w:tcW w:w="7708" w:type="dxa"/>
            <w:noWrap/>
            <w:vAlign w:val="center"/>
          </w:tcPr>
          <w:p>
            <w:pPr>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w:t>
            </w:r>
          </w:p>
        </w:tc>
        <w:tc>
          <w:tcPr>
            <w:tcW w:w="7708" w:type="dxa"/>
            <w:noWrap/>
            <w:vAlign w:val="center"/>
          </w:tcPr>
          <w:p>
            <w:pPr>
              <w:rPr>
                <w:rFonts w:hint="default" w:ascii="宋体" w:hAnsi="宋体"/>
                <w:color w:val="000000" w:themeColor="text1"/>
                <w:szCs w:val="21"/>
                <w:highlight w:val="none"/>
                <w:u w:val="singl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大写：</w:t>
            </w:r>
            <w:r>
              <w:rPr>
                <w:rFonts w:hint="eastAsia" w:ascii="宋体" w:hAnsi="宋体"/>
                <w:color w:val="000000" w:themeColor="text1"/>
                <w:szCs w:val="21"/>
                <w:highlight w:val="none"/>
                <w:u w:val="single"/>
                <w:lang w:val="en-US" w:eastAsia="zh-CN"/>
                <w14:textFill>
                  <w14:solidFill>
                    <w14:schemeClr w14:val="tx1"/>
                  </w14:solidFill>
                </w14:textFill>
              </w:rPr>
              <w:t xml:space="preserve">       </w:t>
            </w:r>
          </w:p>
          <w:p>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小写：</w:t>
            </w:r>
            <w:r>
              <w:rPr>
                <w:rFonts w:hint="eastAsia" w:ascii="宋体" w:hAnsi="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olor w:val="000000" w:themeColor="text1"/>
                <w:szCs w:val="21"/>
                <w:highlight w:val="none"/>
                <w:u w:val="none"/>
                <w:lang w:val="en-US" w:eastAsia="zh-CN"/>
                <w14:textFill>
                  <w14:solidFill>
                    <w14:schemeClr w14:val="tx1"/>
                  </w14:solidFill>
                </w14:textFill>
              </w:rPr>
              <w:t>元</w:t>
            </w:r>
            <w:r>
              <w:rPr>
                <w:rFonts w:hint="eastAsia" w:ascii="宋体" w:hAnsi="宋体"/>
                <w:color w:val="000000" w:themeColor="text1"/>
                <w:sz w:val="21"/>
                <w:szCs w:val="21"/>
                <w:highlight w:val="none"/>
                <w:lang w:val="en-US" w:eastAsia="zh-CN"/>
                <w14:textFill>
                  <w14:solidFill>
                    <w14:schemeClr w14:val="tx1"/>
                  </w14:solidFill>
                </w14:textFill>
              </w:rPr>
              <w:t xml:space="preserve"> </w:t>
            </w:r>
            <w:r>
              <w:rPr>
                <w:rFonts w:hint="eastAsia" w:ascii="宋体" w:hAnsi="宋体"/>
                <w:color w:val="000000" w:themeColor="text1"/>
                <w:szCs w:val="21"/>
                <w:highlight w:val="none"/>
                <w:lang w:val="en-US" w:eastAsia="zh-CN"/>
                <w14:textFill>
                  <w14:solidFill>
                    <w14:schemeClr w14:val="tx1"/>
                  </w14:solidFill>
                </w14:textFill>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14:textFill>
                  <w14:solidFill>
                    <w14:schemeClr w14:val="tx1"/>
                  </w14:solidFill>
                </w14:textFill>
              </w:rPr>
              <w:t>地点</w:t>
            </w:r>
          </w:p>
        </w:tc>
        <w:tc>
          <w:tcPr>
            <w:tcW w:w="7708" w:type="dxa"/>
            <w:noWrap/>
            <w:vAlign w:val="bottom"/>
          </w:tcPr>
          <w:p>
            <w:pPr>
              <w:spacing w:line="360" w:lineRule="auto"/>
              <w:ind w:firstLine="1155" w:firstLineChars="550"/>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  注</w:t>
            </w:r>
          </w:p>
        </w:tc>
        <w:tc>
          <w:tcPr>
            <w:tcW w:w="7708" w:type="dxa"/>
            <w:noWrap/>
            <w:vAlign w:val="center"/>
          </w:tcPr>
          <w:p>
            <w:pPr>
              <w:pStyle w:val="23"/>
              <w:ind w:left="0" w:leftChars="0"/>
              <w:rPr>
                <w:color w:val="000000" w:themeColor="text1"/>
                <w:sz w:val="21"/>
                <w:szCs w:val="21"/>
                <w:highlight w:val="none"/>
                <w14:textFill>
                  <w14:solidFill>
                    <w14:schemeClr w14:val="tx1"/>
                  </w14:solidFill>
                </w14:textFill>
              </w:rPr>
            </w:pPr>
          </w:p>
        </w:tc>
      </w:tr>
    </w:tbl>
    <w:p>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注: 1、报价一经涂改，应在涂改处加盖单位公章或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代表签字或盖章，否则其投标作无效标处理。</w:t>
      </w:r>
    </w:p>
    <w:p>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2、以上报价应与“报价明细表”中的报价相一致。</w:t>
      </w:r>
    </w:p>
    <w:p>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3、凡认为所投产品符合价格折扣条件的，在相应的产品的“备注”栏内注明符合何种折扣条件。</w:t>
      </w: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按格式填列，不得自行更改。否则引起的不利后果由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承担。</w:t>
      </w:r>
    </w:p>
    <w:p>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bookmarkStart w:id="66" w:name="_Toc11620"/>
      <w:bookmarkStart w:id="67" w:name="_Toc20877"/>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（全称并加盖公章）：</w:t>
      </w:r>
      <w:bookmarkEnd w:id="66"/>
      <w:bookmarkEnd w:id="67"/>
    </w:p>
    <w:p>
      <w:pPr>
        <w:spacing w:line="360" w:lineRule="auto"/>
        <w:ind w:firstLine="420" w:firstLineChars="200"/>
        <w:jc w:val="center"/>
        <w:rPr>
          <w:rFonts w:ascii="宋体" w:hAnsi="宋体"/>
          <w:color w:val="000000" w:themeColor="text1"/>
          <w:szCs w:val="21"/>
          <w:highlight w:val="none"/>
          <w:u w:val="single"/>
          <w14:textFill>
            <w14:solidFill>
              <w14:schemeClr w14:val="tx1"/>
            </w14:solidFill>
          </w14:textFill>
        </w:rPr>
      </w:pPr>
      <w:bookmarkStart w:id="68" w:name="_Toc625"/>
      <w:bookmarkStart w:id="69" w:name="_Toc12222"/>
      <w:r>
        <w:rPr>
          <w:rFonts w:hint="eastAsia" w:ascii="宋体" w:hAnsi="宋体"/>
          <w:color w:val="000000" w:themeColor="text1"/>
          <w:szCs w:val="21"/>
          <w:highlight w:val="none"/>
          <w14:textFill>
            <w14:solidFill>
              <w14:schemeClr w14:val="tx1"/>
            </w14:solidFill>
          </w14:textFill>
        </w:rPr>
        <w:t>法定代表人或其委托代理人（签字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olor w:val="000000" w:themeColor="text1"/>
          <w:szCs w:val="21"/>
          <w:highlight w:val="none"/>
          <w14:textFill>
            <w14:solidFill>
              <w14:schemeClr w14:val="tx1"/>
            </w14:solidFill>
          </w14:textFill>
        </w:rPr>
        <w:t>）：</w:t>
      </w:r>
      <w:bookmarkEnd w:id="68"/>
      <w:bookmarkEnd w:id="69"/>
    </w:p>
    <w:p>
      <w:pPr>
        <w:jc w:val="center"/>
        <w:rPr>
          <w:rFonts w:ascii="宋体" w:hAnsi="宋体"/>
          <w:color w:val="000000" w:themeColor="text1"/>
          <w:szCs w:val="21"/>
          <w:highlight w:val="none"/>
          <w14:textFill>
            <w14:solidFill>
              <w14:schemeClr w14:val="tx1"/>
            </w14:solidFill>
          </w14:textFill>
        </w:rPr>
      </w:pPr>
    </w:p>
    <w:p>
      <w:pPr>
        <w:spacing w:line="360" w:lineRule="auto"/>
        <w:ind w:firstLine="420" w:firstLineChars="200"/>
        <w:jc w:val="center"/>
        <w:rPr>
          <w:color w:val="000000" w:themeColor="text1"/>
          <w:highlight w:val="none"/>
          <w14:textFill>
            <w14:solidFill>
              <w14:schemeClr w14:val="tx1"/>
            </w14:solidFill>
          </w14:textFill>
        </w:rPr>
      </w:pPr>
      <w:bookmarkStart w:id="70" w:name="_Toc1330"/>
      <w:bookmarkStart w:id="71" w:name="_Toc9950"/>
      <w:r>
        <w:rPr>
          <w:rFonts w:hint="eastAsia" w:ascii="宋体" w:hAnsi="宋体"/>
          <w:color w:val="000000" w:themeColor="text1"/>
          <w:szCs w:val="21"/>
          <w:highlight w:val="none"/>
          <w14:textFill>
            <w14:solidFill>
              <w14:schemeClr w14:val="tx1"/>
            </w14:solidFill>
          </w14:textFill>
        </w:rPr>
        <w:t>年  月  日</w:t>
      </w:r>
      <w:bookmarkEnd w:id="70"/>
      <w:bookmarkEnd w:id="71"/>
    </w:p>
    <w:p>
      <w:pPr>
        <w:rPr>
          <w:color w:val="000000" w:themeColor="text1"/>
          <w:highlight w:val="none"/>
          <w14:textFill>
            <w14:solidFill>
              <w14:schemeClr w14:val="tx1"/>
            </w14:solidFill>
          </w14:textFill>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pPr>
        <w:outlineLvl w:val="9"/>
        <w:rPr>
          <w:rFonts w:hint="eastAsia"/>
          <w:color w:val="000000" w:themeColor="text1"/>
          <w:highlight w:val="none"/>
          <w:lang w:eastAsia="zh-CN"/>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8"/>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金额单位：人民币（元）</w:t>
      </w:r>
    </w:p>
    <w:tbl>
      <w:tblPr>
        <w:tblStyle w:val="35"/>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9"/>
        <w:gridCol w:w="2205"/>
        <w:gridCol w:w="1853"/>
        <w:gridCol w:w="1694"/>
        <w:gridCol w:w="1306"/>
        <w:gridCol w:w="176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1059" w:type="dxa"/>
            <w:tcBorders>
              <w:top w:val="single" w:color="auto" w:sz="4" w:space="0"/>
              <w:left w:val="single" w:color="auto" w:sz="4" w:space="0"/>
              <w:bottom w:val="nil"/>
              <w:right w:val="single" w:color="auto" w:sz="4" w:space="0"/>
            </w:tcBorders>
            <w:vAlign w:val="center"/>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205" w:type="dxa"/>
            <w:tcBorders>
              <w:top w:val="single" w:color="auto" w:sz="4" w:space="0"/>
              <w:left w:val="single" w:color="auto" w:sz="4" w:space="0"/>
              <w:bottom w:val="nil"/>
              <w:right w:val="single" w:color="auto" w:sz="4" w:space="0"/>
            </w:tcBorders>
            <w:vAlign w:val="center"/>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853" w:type="dxa"/>
            <w:tcBorders>
              <w:top w:val="single" w:color="auto" w:sz="4" w:space="0"/>
              <w:left w:val="single" w:color="auto" w:sz="4" w:space="0"/>
              <w:bottom w:val="nil"/>
              <w:right w:val="single" w:color="auto" w:sz="4" w:space="0"/>
            </w:tcBorders>
            <w:vAlign w:val="center"/>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694" w:type="dxa"/>
            <w:tcBorders>
              <w:top w:val="single" w:color="auto" w:sz="4" w:space="0"/>
              <w:left w:val="single" w:color="auto" w:sz="4" w:space="0"/>
              <w:bottom w:val="nil"/>
              <w:right w:val="single" w:color="auto" w:sz="4" w:space="0"/>
            </w:tcBorders>
            <w:vAlign w:val="center"/>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306" w:type="dxa"/>
            <w:tcBorders>
              <w:top w:val="single" w:color="auto" w:sz="4" w:space="0"/>
              <w:left w:val="single" w:color="auto" w:sz="4" w:space="0"/>
              <w:bottom w:val="nil"/>
              <w:right w:val="single" w:color="auto" w:sz="4" w:space="0"/>
            </w:tcBorders>
            <w:vAlign w:val="center"/>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763" w:type="dxa"/>
            <w:tcBorders>
              <w:top w:val="single" w:color="auto" w:sz="4" w:space="0"/>
              <w:left w:val="single" w:color="auto" w:sz="4" w:space="0"/>
              <w:bottom w:val="nil"/>
              <w:right w:val="single" w:color="auto" w:sz="4" w:space="0"/>
            </w:tcBorders>
            <w:vAlign w:val="center"/>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20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8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9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76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2</w:t>
            </w:r>
          </w:p>
        </w:tc>
        <w:tc>
          <w:tcPr>
            <w:tcW w:w="220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8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9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76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3</w:t>
            </w:r>
          </w:p>
        </w:tc>
        <w:tc>
          <w:tcPr>
            <w:tcW w:w="220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8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9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76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4</w:t>
            </w:r>
          </w:p>
        </w:tc>
        <w:tc>
          <w:tcPr>
            <w:tcW w:w="220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8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9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76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220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8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9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76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w:t>
            </w:r>
          </w:p>
        </w:tc>
        <w:tc>
          <w:tcPr>
            <w:tcW w:w="220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合计</w:t>
            </w:r>
          </w:p>
        </w:tc>
        <w:tc>
          <w:tcPr>
            <w:tcW w:w="18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9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76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05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8821" w:type="dxa"/>
            <w:gridSpan w:val="5"/>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default" w:ascii="宋体" w:hAnsi="宋体" w:eastAsia="宋体" w:cs="宋体"/>
                <w:color w:val="000000" w:themeColor="text1"/>
                <w:spacing w:val="20"/>
                <w:kern w:val="0"/>
                <w:sz w:val="24"/>
                <w:highlight w:val="none"/>
                <w:u w:val="singl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r>
              <w:rPr>
                <w:rFonts w:hint="eastAsia" w:ascii="宋体" w:hAnsi="宋体" w:cs="宋体"/>
                <w:color w:val="000000" w:themeColor="text1"/>
                <w:kern w:val="0"/>
                <w:sz w:val="24"/>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1"/>
                <w:highlight w:val="none"/>
                <w14:textFill>
                  <w14:solidFill>
                    <w14:schemeClr w14:val="tx1"/>
                  </w14:solidFill>
                </w14:textFill>
              </w:rPr>
              <w:t>￥</w:t>
            </w:r>
            <w:r>
              <w:rPr>
                <w:rFonts w:hint="eastAsia" w:ascii="宋体" w:hAnsi="宋体" w:cs="宋体"/>
                <w:color w:val="000000" w:themeColor="text1"/>
                <w:kern w:val="0"/>
                <w:sz w:val="24"/>
                <w:szCs w:val="21"/>
                <w:highlight w:val="none"/>
                <w:lang w:eastAsia="zh-CN"/>
                <w14:textFill>
                  <w14:solidFill>
                    <w14:schemeClr w14:val="tx1"/>
                  </w14:solidFill>
                </w14:textFill>
              </w:rPr>
              <w:t>：</w:t>
            </w:r>
            <w:r>
              <w:rPr>
                <w:rFonts w:hint="eastAsia" w:ascii="宋体" w:hAnsi="宋体" w:cs="宋体"/>
                <w:color w:val="000000" w:themeColor="text1"/>
                <w:kern w:val="0"/>
                <w:sz w:val="24"/>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1"/>
                <w:highlight w:val="none"/>
                <w:u w:val="none"/>
                <w:lang w:val="en-US" w:eastAsia="zh-CN"/>
                <w14:textFill>
                  <w14:solidFill>
                    <w14:schemeClr w14:val="tx1"/>
                  </w14:solidFill>
                </w14:textFill>
              </w:rPr>
              <w:t>（小写）</w:t>
            </w:r>
          </w:p>
        </w:tc>
      </w:tr>
    </w:tbl>
    <w:p>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000000" w:themeColor="text1"/>
          <w:kern w:val="0"/>
          <w:sz w:val="24"/>
          <w:highlight w:val="none"/>
          <w14:textFill>
            <w14:solidFill>
              <w14:schemeClr w14:val="tx1"/>
            </w14:solidFill>
          </w14:textFill>
        </w:rPr>
      </w:pPr>
    </w:p>
    <w:p>
      <w:pPr>
        <w:widowControl/>
        <w:shd w:val="clear" w:color="auto" w:fill="FFFFFF"/>
        <w:spacing w:line="360" w:lineRule="auto"/>
        <w:ind w:left="1418" w:hanging="567"/>
        <w:jc w:val="both"/>
        <w:rPr>
          <w:rFonts w:hint="eastAsia" w:ascii="宋体" w:hAnsi="宋体" w:cs="宋体"/>
          <w:color w:val="000000" w:themeColor="text1"/>
          <w:kern w:val="0"/>
          <w:sz w:val="24"/>
          <w:highlight w:val="none"/>
          <w14:textFill>
            <w14:solidFill>
              <w14:schemeClr w14:val="tx1"/>
            </w14:solidFill>
          </w14:textFill>
        </w:rPr>
      </w:pPr>
    </w:p>
    <w:p>
      <w:pPr>
        <w:pStyle w:val="34"/>
        <w:rPr>
          <w:rFonts w:hint="eastAsia"/>
          <w:color w:val="000000" w:themeColor="text1"/>
          <w:highlight w:val="none"/>
          <w14:textFill>
            <w14:solidFill>
              <w14:schemeClr w14:val="tx1"/>
            </w14:solidFill>
          </w14:textFill>
        </w:rPr>
      </w:pPr>
    </w:p>
    <w:p>
      <w:pPr>
        <w:widowControl/>
        <w:shd w:val="clear" w:color="auto" w:fill="FFFFFF"/>
        <w:spacing w:line="360" w:lineRule="auto"/>
        <w:ind w:left="1418" w:hanging="567"/>
        <w:jc w:val="both"/>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供应商法定代表人</w:t>
      </w:r>
      <w:r>
        <w:rPr>
          <w:rFonts w:hint="eastAsia" w:ascii="宋体" w:hAnsi="宋体" w:cs="宋体"/>
          <w:color w:val="000000" w:themeColor="text1"/>
          <w:kern w:val="0"/>
          <w:sz w:val="24"/>
          <w:highlight w:val="none"/>
          <w:lang w:eastAsia="zh-CN"/>
          <w14:textFill>
            <w14:solidFill>
              <w14:schemeClr w14:val="tx1"/>
            </w14:solidFill>
          </w14:textFill>
        </w:rPr>
        <w:t>或</w:t>
      </w:r>
      <w:r>
        <w:rPr>
          <w:rFonts w:hint="eastAsia" w:ascii="宋体" w:hAnsi="宋体" w:cs="宋体"/>
          <w:color w:val="000000" w:themeColor="text1"/>
          <w:kern w:val="0"/>
          <w:sz w:val="24"/>
          <w:highlight w:val="none"/>
          <w14:textFill>
            <w14:solidFill>
              <w14:schemeClr w14:val="tx1"/>
            </w14:solidFill>
          </w14:textFill>
        </w:rPr>
        <w:t>其授权代表签字：</w:t>
      </w:r>
      <w:r>
        <w:rPr>
          <w:rFonts w:hint="eastAsia" w:ascii="宋体" w:hAnsi="宋体" w:cs="宋体"/>
          <w:color w:val="000000" w:themeColor="text1"/>
          <w:kern w:val="0"/>
          <w:sz w:val="24"/>
          <w:highlight w:val="none"/>
          <w:u w:val="single"/>
          <w14:textFill>
            <w14:solidFill>
              <w14:schemeClr w14:val="tx1"/>
            </w14:solidFill>
          </w14:textFill>
        </w:rPr>
        <w:t xml:space="preserve">              </w:t>
      </w:r>
    </w:p>
    <w:p>
      <w:pPr>
        <w:widowControl/>
        <w:shd w:val="clear" w:color="auto" w:fill="FFFFFF"/>
        <w:spacing w:line="360" w:lineRule="auto"/>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供应商名称： </w:t>
      </w:r>
      <w:r>
        <w:rPr>
          <w:rFonts w:hint="eastAsia" w:ascii="宋体" w:hAnsi="宋体" w:cs="宋体"/>
          <w:color w:val="000000" w:themeColor="text1"/>
          <w:kern w:val="0"/>
          <w:sz w:val="24"/>
          <w:highlight w:val="none"/>
          <w:u w:val="singl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pPr>
        <w:widowControl/>
        <w:wordWrap w:val="0"/>
        <w:spacing w:line="460" w:lineRule="exact"/>
        <w:ind w:firstLine="2880" w:firstLineChars="1200"/>
        <w:jc w:val="left"/>
        <w:rPr>
          <w:color w:val="000000" w:themeColor="text1"/>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pPr>
        <w:widowControl/>
        <w:wordWrap w:val="0"/>
        <w:spacing w:line="460" w:lineRule="exact"/>
        <w:ind w:firstLine="4800" w:firstLineChars="2000"/>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17"/>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pPr>
    </w:p>
    <w:p>
      <w:pPr>
        <w:pStyle w:val="26"/>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pPr>
        <w:pStyle w:val="8"/>
        <w:rPr>
          <w:rFonts w:hint="eastAsia" w:eastAsia="黑体"/>
          <w:color w:val="000000" w:themeColor="text1"/>
          <w:highlight w:val="none"/>
          <w:lang w:val="en-US" w:eastAsia="zh-CN"/>
          <w14:textFill>
            <w14:solidFill>
              <w14:schemeClr w14:val="tx1"/>
            </w14:solidFill>
          </w14:textFill>
        </w:rPr>
      </w:pPr>
      <w:bookmarkStart w:id="74" w:name="_Toc15804"/>
      <w:bookmarkStart w:id="75" w:name="_Toc226"/>
      <w:r>
        <w:rPr>
          <w:rFonts w:hint="eastAsia"/>
          <w:color w:val="000000" w:themeColor="text1"/>
          <w:highlight w:val="none"/>
          <w14:textFill>
            <w14:solidFill>
              <w14:schemeClr w14:val="tx1"/>
            </w14:solidFill>
          </w14:textFill>
        </w:rPr>
        <w:t xml:space="preserve">附件5         </w:t>
      </w:r>
      <w:bookmarkEnd w:id="74"/>
      <w:bookmarkEnd w:id="75"/>
      <w:r>
        <w:rPr>
          <w:rFonts w:hint="eastAsia"/>
          <w:color w:val="000000" w:themeColor="text1"/>
          <w:highlight w:val="none"/>
          <w14:textFill>
            <w14:solidFill>
              <w14:schemeClr w14:val="tx1"/>
            </w14:solidFill>
          </w14:textFill>
        </w:rPr>
        <w:t xml:space="preserve">     技术响应</w:t>
      </w:r>
      <w:r>
        <w:rPr>
          <w:rFonts w:hint="eastAsia"/>
          <w:color w:val="000000" w:themeColor="text1"/>
          <w:highlight w:val="none"/>
          <w:lang w:val="en-US" w:eastAsia="zh-CN"/>
          <w14:textFill>
            <w14:solidFill>
              <w14:schemeClr w14:val="tx1"/>
            </w14:solidFill>
          </w14:textFill>
        </w:rPr>
        <w:t>表（格式）</w:t>
      </w:r>
    </w:p>
    <w:tbl>
      <w:tblPr>
        <w:tblStyle w:val="91"/>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24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26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3329"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22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偏离情况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24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24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124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注：供应商必须如实完整填写表格，“偏离情况”是指“正偏离”、“负偏离”或“无偏离”。</w:t>
      </w:r>
    </w:p>
    <w:p>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p>
    <w:p>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pPr>
        <w:widowControl/>
        <w:wordWrap w:val="0"/>
        <w:spacing w:line="460" w:lineRule="exact"/>
        <w:ind w:firstLine="1920" w:firstLineChars="8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pPr>
        <w:widowControl/>
        <w:wordWrap w:val="0"/>
        <w:snapToGrid w:val="0"/>
        <w:spacing w:before="50" w:afterLines="50"/>
        <w:jc w:val="left"/>
        <w:rPr>
          <w:rFonts w:hint="eastAsia" w:ascii="宋体" w:hAnsi="宋体" w:eastAsia="宋体" w:cs="宋体"/>
          <w:color w:val="000000" w:themeColor="text1"/>
          <w:kern w:val="0"/>
          <w:sz w:val="24"/>
          <w:highlight w:val="none"/>
          <w:u w:val="single"/>
          <w:lang w:eastAsia="zh-CN"/>
          <w14:textFill>
            <w14:solidFill>
              <w14:schemeClr w14:val="tx1"/>
            </w14:solidFill>
          </w14:textFill>
        </w:rPr>
      </w:pPr>
    </w:p>
    <w:p>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pPr>
        <w:pStyle w:val="8"/>
        <w:rPr>
          <w:rFonts w:hint="eastAsia" w:cs="Times New Roman"/>
          <w:color w:val="000000" w:themeColor="text1"/>
          <w:highlight w:val="none"/>
          <w:lang w:val="en-US" w:eastAsia="zh-CN"/>
          <w14:textFill>
            <w14:solidFill>
              <w14:schemeClr w14:val="tx1"/>
            </w14:solidFill>
          </w14:textFill>
        </w:rPr>
      </w:pPr>
      <w:bookmarkStart w:id="76" w:name="_Toc20420"/>
      <w:bookmarkStart w:id="77" w:name="_Toc29960"/>
      <w:bookmarkStart w:id="78" w:name="_Toc24168"/>
      <w:r>
        <w:rPr>
          <w:rFonts w:hint="eastAsia" w:cs="Times New Roman"/>
          <w:color w:val="000000" w:themeColor="text1"/>
          <w:highlight w:val="none"/>
          <w14:textFill>
            <w14:solidFill>
              <w14:schemeClr w14:val="tx1"/>
            </w14:solidFill>
          </w14:textFill>
        </w:rPr>
        <w:t>附件6               商务响应</w:t>
      </w:r>
      <w:bookmarkEnd w:id="76"/>
      <w:bookmarkEnd w:id="77"/>
      <w:bookmarkEnd w:id="78"/>
      <w:r>
        <w:rPr>
          <w:rFonts w:hint="eastAsia" w:cs="Times New Roman"/>
          <w:color w:val="000000" w:themeColor="text1"/>
          <w:highlight w:val="none"/>
          <w:lang w:val="en-US" w:eastAsia="zh-CN"/>
          <w14:textFill>
            <w14:solidFill>
              <w14:schemeClr w14:val="tx1"/>
            </w14:solidFill>
          </w14:textFill>
        </w:rPr>
        <w:t>表（格式）</w:t>
      </w:r>
    </w:p>
    <w:p>
      <w:pPr>
        <w:widowControl/>
        <w:wordWrap w:val="0"/>
        <w:spacing w:line="460" w:lineRule="exact"/>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 xml:space="preserve">  </w:t>
      </w:r>
    </w:p>
    <w:tbl>
      <w:tblPr>
        <w:tblStyle w:val="91"/>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投标文件</w:t>
            </w:r>
          </w:p>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响应情况</w:t>
            </w: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对采购文件</w:t>
            </w:r>
          </w:p>
          <w:p>
            <w:pPr>
              <w:pageBreakBefore w:val="0"/>
              <w:widowControl/>
              <w:wordWrap/>
              <w:overflowPunct/>
              <w:topLinePunct w:val="0"/>
              <w:bidi w:val="0"/>
              <w:spacing w:line="360" w:lineRule="auto"/>
              <w:jc w:val="center"/>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偏差</w:t>
            </w:r>
          </w:p>
        </w:tc>
        <w:tc>
          <w:tcPr>
            <w:tcW w:w="1612" w:type="dxa"/>
            <w:noWrap w:val="0"/>
            <w:vAlign w:val="center"/>
          </w:tcPr>
          <w:p>
            <w:pPr>
              <w:pageBreakBefore w:val="0"/>
              <w:widowControl/>
              <w:wordWrap/>
              <w:overflowPunct/>
              <w:topLinePunct w:val="0"/>
              <w:bidi w:val="0"/>
              <w:spacing w:line="360" w:lineRule="auto"/>
              <w:jc w:val="center"/>
              <w:textAlignment w:val="baseline"/>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pPr>
              <w:pStyle w:val="17"/>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866"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612" w:type="dxa"/>
            <w:noWrap w:val="0"/>
            <w:vAlign w:val="center"/>
          </w:tcPr>
          <w:p>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pPr>
        <w:rPr>
          <w:rFonts w:cs="宋体"/>
          <w:b/>
          <w:color w:val="000000" w:themeColor="text1"/>
          <w:kern w:val="0"/>
          <w:sz w:val="24"/>
          <w:highlight w:val="none"/>
          <w14:textFill>
            <w14:solidFill>
              <w14:schemeClr w14:val="tx1"/>
            </w14:solidFill>
          </w14:textFill>
        </w:rPr>
      </w:pPr>
    </w:p>
    <w:p>
      <w:pPr>
        <w:pStyle w:val="34"/>
        <w:rPr>
          <w:color w:val="000000" w:themeColor="text1"/>
          <w:highlight w:val="none"/>
          <w14:textFill>
            <w14:solidFill>
              <w14:schemeClr w14:val="tx1"/>
            </w14:solidFill>
          </w14:textFill>
        </w:rPr>
      </w:pPr>
    </w:p>
    <w:p>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rPr>
          <w:rFonts w:hint="eastAsia" w:ascii="Arial" w:hAnsi="Arial" w:eastAsia="新宋体"/>
          <w:b/>
          <w:color w:val="000000" w:themeColor="text1"/>
          <w:sz w:val="28"/>
          <w:highlight w:val="none"/>
          <w14:textFill>
            <w14:solidFill>
              <w14:schemeClr w14:val="tx1"/>
            </w14:solidFill>
          </w14:textFill>
        </w:rPr>
      </w:pPr>
      <w:bookmarkStart w:id="79" w:name="_Toc28621"/>
      <w:bookmarkStart w:id="80" w:name="_Toc31526"/>
      <w:r>
        <w:rPr>
          <w:rFonts w:hint="eastAsia" w:ascii="Arial" w:hAnsi="Arial" w:eastAsia="新宋体"/>
          <w:b/>
          <w:color w:val="000000" w:themeColor="text1"/>
          <w:sz w:val="28"/>
          <w:highlight w:val="none"/>
          <w14:textFill>
            <w14:solidFill>
              <w14:schemeClr w14:val="tx1"/>
            </w14:solidFill>
          </w14:textFill>
        </w:rPr>
        <w:br w:type="page"/>
      </w:r>
    </w:p>
    <w:p>
      <w:pPr>
        <w:widowControl/>
        <w:wordWrap w:val="0"/>
        <w:spacing w:line="460" w:lineRule="exact"/>
        <w:jc w:val="left"/>
        <w:outlineLvl w:val="0"/>
        <w:rPr>
          <w:rFonts w:hint="eastAsia" w:ascii="黑体" w:hAnsi="黑体" w:eastAsia="黑体" w:cs="黑体"/>
          <w:b w:val="0"/>
          <w:bCs/>
          <w:color w:val="000000" w:themeColor="text1"/>
          <w:sz w:val="32"/>
          <w:szCs w:val="28"/>
          <w:highlight w:val="none"/>
          <w14:textFill>
            <w14:solidFill>
              <w14:schemeClr w14:val="tx1"/>
            </w14:solidFill>
          </w14:textFill>
        </w:rPr>
      </w:pPr>
      <w:bookmarkStart w:id="81" w:name="_Toc29406"/>
      <w:r>
        <w:rPr>
          <w:rFonts w:hint="eastAsia" w:ascii="黑体" w:hAnsi="黑体" w:eastAsia="黑体" w:cs="黑体"/>
          <w:b w:val="0"/>
          <w:bCs/>
          <w:color w:val="000000" w:themeColor="text1"/>
          <w:sz w:val="32"/>
          <w:szCs w:val="28"/>
          <w:highlight w:val="none"/>
          <w14:textFill>
            <w14:solidFill>
              <w14:schemeClr w14:val="tx1"/>
            </w14:solidFill>
          </w14:textFill>
        </w:rPr>
        <w:t xml:space="preserve">附件7     </w:t>
      </w:r>
      <w:r>
        <w:rPr>
          <w:rFonts w:hint="eastAsia" w:ascii="黑体" w:hAnsi="黑体" w:eastAsia="黑体" w:cs="黑体"/>
          <w:b w:val="0"/>
          <w:bCs/>
          <w:color w:val="000000" w:themeColor="text1"/>
          <w:sz w:val="32"/>
          <w:szCs w:val="28"/>
          <w:highlight w:val="none"/>
          <w:lang w:val="en-US" w:eastAsia="zh-CN"/>
          <w14:textFill>
            <w14:solidFill>
              <w14:schemeClr w14:val="tx1"/>
            </w14:solidFill>
          </w14:textFill>
        </w:rPr>
        <w:t xml:space="preserve">   </w:t>
      </w:r>
      <w:r>
        <w:rPr>
          <w:rFonts w:hint="eastAsia" w:ascii="黑体" w:hAnsi="黑体" w:eastAsia="黑体" w:cs="黑体"/>
          <w:b w:val="0"/>
          <w:bCs/>
          <w:color w:val="000000" w:themeColor="text1"/>
          <w:sz w:val="32"/>
          <w:szCs w:val="28"/>
          <w:highlight w:val="none"/>
          <w14:textFill>
            <w14:solidFill>
              <w14:schemeClr w14:val="tx1"/>
            </w14:solidFill>
          </w14:textFill>
        </w:rPr>
        <w:t xml:space="preserve">   法定代表人身份证明（格式）</w:t>
      </w:r>
      <w:bookmarkEnd w:id="79"/>
      <w:bookmarkEnd w:id="80"/>
      <w:bookmarkEnd w:id="81"/>
    </w:p>
    <w:p>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名称：</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地址：</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成立时间：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月</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日</w:t>
      </w:r>
    </w:p>
    <w:p>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经营期限：</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pPr>
        <w:widowControl/>
        <w:wordWrap w:val="0"/>
        <w:spacing w:line="460" w:lineRule="exact"/>
        <w:ind w:firstLine="48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姓名：</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，性别：</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，职务：</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w:t>
      </w:r>
      <w:r>
        <w:rPr>
          <w:rFonts w:hint="eastAsia" w:ascii="宋体" w:hAnsi="宋体" w:cs="宋体"/>
          <w:color w:val="000000" w:themeColor="text1"/>
          <w:kern w:val="0"/>
          <w:sz w:val="24"/>
          <w:szCs w:val="20"/>
          <w:highlight w:val="none"/>
          <w:lang w:eastAsia="zh-CN"/>
          <w14:textFill>
            <w14:solidFill>
              <w14:schemeClr w14:val="tx1"/>
            </w14:solidFill>
          </w14:textFill>
        </w:rPr>
        <w:t>供应商</w:t>
      </w:r>
      <w:r>
        <w:rPr>
          <w:rFonts w:hint="eastAsia" w:ascii="宋体" w:hAnsi="宋体" w:cs="宋体"/>
          <w:color w:val="000000" w:themeColor="text1"/>
          <w:kern w:val="0"/>
          <w:sz w:val="24"/>
          <w:szCs w:val="20"/>
          <w:highlight w:val="none"/>
          <w14:textFill>
            <w14:solidFill>
              <w14:schemeClr w14:val="tx1"/>
            </w14:solidFill>
          </w14:textFill>
        </w:rPr>
        <w:t>名称）的法定代表人。</w:t>
      </w:r>
    </w:p>
    <w:p>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特此证明。</w:t>
      </w:r>
    </w:p>
    <w:p>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pPr>
        <w:widowControl/>
        <w:wordWrap w:val="0"/>
        <w:spacing w:beforeLines="100" w:afterLines="100" w:line="480" w:lineRule="exact"/>
        <w:jc w:val="center"/>
        <w:rPr>
          <w:rFonts w:ascii="宋体" w:hAnsi="宋体" w:cs="Lucida Sans Unicode"/>
          <w:b/>
          <w:color w:val="000000" w:themeColor="text1"/>
          <w:kern w:val="0"/>
          <w:sz w:val="36"/>
          <w:szCs w:val="36"/>
          <w:highlight w:val="none"/>
          <w14:textFill>
            <w14:solidFill>
              <w14:schemeClr w14:val="tx1"/>
            </w14:solidFill>
          </w14:textFill>
        </w:rPr>
      </w:pPr>
    </w:p>
    <w:tbl>
      <w:tblPr>
        <w:tblStyle w:val="35"/>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此处请粘贴法定代表人身份证复印件</w:t>
            </w:r>
          </w:p>
          <w:p>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tc>
      </w:tr>
    </w:tbl>
    <w:p>
      <w:pPr>
        <w:widowControl/>
        <w:wordWrap w:val="0"/>
        <w:spacing w:beforeLines="100" w:afterLines="100" w:line="480" w:lineRule="exact"/>
        <w:jc w:val="center"/>
        <w:rPr>
          <w:rFonts w:ascii="宋体" w:hAnsi="宋体" w:cs="Lucida Sans Unicode"/>
          <w:b/>
          <w:color w:val="000000" w:themeColor="text1"/>
          <w:kern w:val="0"/>
          <w:sz w:val="24"/>
          <w:highlight w:val="none"/>
          <w14:textFill>
            <w14:solidFill>
              <w14:schemeClr w14:val="tx1"/>
            </w14:solidFill>
          </w14:textFill>
        </w:rPr>
      </w:pPr>
    </w:p>
    <w:p>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pPr>
        <w:widowControl/>
        <w:wordWrap w:val="0"/>
        <w:snapToGrid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pPr>
        <w:widowControl/>
        <w:wordWrap w:val="0"/>
        <w:spacing w:line="460" w:lineRule="exact"/>
        <w:ind w:left="3780" w:leftChars="1800"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widowControl/>
        <w:wordWrap w:val="0"/>
        <w:spacing w:line="460" w:lineRule="exact"/>
        <w:jc w:val="left"/>
        <w:outlineLvl w:val="0"/>
        <w:rPr>
          <w:rFonts w:hint="eastAsia" w:ascii="黑体" w:hAnsi="黑体" w:eastAsia="黑体" w:cs="黑体"/>
          <w:b/>
          <w:color w:val="000000" w:themeColor="text1"/>
          <w:sz w:val="32"/>
          <w:szCs w:val="28"/>
          <w:highlight w:val="none"/>
          <w14:textFill>
            <w14:solidFill>
              <w14:schemeClr w14:val="tx1"/>
            </w14:solidFill>
          </w14:textFill>
        </w:rPr>
      </w:pPr>
      <w:bookmarkStart w:id="82" w:name="_Toc30519"/>
      <w:bookmarkStart w:id="83" w:name="_Toc13976"/>
      <w:bookmarkStart w:id="84" w:name="_Toc12939"/>
      <w:r>
        <w:rPr>
          <w:rFonts w:hint="eastAsia" w:ascii="黑体" w:hAnsi="黑体" w:eastAsia="黑体" w:cs="黑体"/>
          <w:b/>
          <w:color w:val="000000" w:themeColor="text1"/>
          <w:sz w:val="32"/>
          <w:szCs w:val="28"/>
          <w:highlight w:val="none"/>
          <w14:textFill>
            <w14:solidFill>
              <w14:schemeClr w14:val="tx1"/>
            </w14:solidFill>
          </w14:textFill>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pPr>
        <w:widowControl/>
        <w:wordWrap w:val="0"/>
        <w:snapToGrid w:val="0"/>
        <w:spacing w:line="460" w:lineRule="exact"/>
        <w:jc w:val="left"/>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采购人</w:t>
      </w:r>
      <w:r>
        <w:rPr>
          <w:rFonts w:hint="eastAsia" w:ascii="宋体" w:hAnsi="宋体" w:cs="宋体"/>
          <w:color w:val="000000" w:themeColor="text1"/>
          <w:kern w:val="0"/>
          <w:sz w:val="24"/>
          <w:highlight w:val="none"/>
          <w14:textFill>
            <w14:solidFill>
              <w14:schemeClr w14:val="tx1"/>
            </w14:solidFill>
          </w14:textFill>
        </w:rPr>
        <w:t>名称）：</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 xml:space="preserve">名称）的法定代表人，现委托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（姓名）为我方代理人。代理人根据本授权，以我方的名义参加</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代理人无转委托权。</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委托期限：</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pPr>
        <w:widowControl/>
        <w:wordWrap w:val="0"/>
        <w:snapToGrid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委托代理人签名：             法定代表人签名：</w:t>
      </w:r>
    </w:p>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职务：                      职务：</w:t>
      </w:r>
    </w:p>
    <w:tbl>
      <w:tblPr>
        <w:tblStyle w:val="35"/>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w:t>
            </w:r>
            <w:r>
              <w:rPr>
                <w:rFonts w:hint="eastAsia" w:ascii="宋体" w:hAnsi="宋体" w:cs="宋体"/>
                <w:color w:val="000000" w:themeColor="text1"/>
                <w:kern w:val="0"/>
                <w:sz w:val="24"/>
                <w:highlight w:val="none"/>
                <w14:textFill>
                  <w14:solidFill>
                    <w14:schemeClr w14:val="tx1"/>
                  </w14:solidFill>
                </w14:textFill>
              </w:rPr>
              <w:t>委托代理人</w:t>
            </w:r>
            <w:r>
              <w:rPr>
                <w:rFonts w:hint="eastAsia" w:ascii="宋体" w:hAnsi="宋体" w:cs="Lucida Sans Unicode"/>
                <w:bCs/>
                <w:color w:val="000000" w:themeColor="text1"/>
                <w:kern w:val="0"/>
                <w:sz w:val="24"/>
                <w:highlight w:val="none"/>
                <w14:textFill>
                  <w14:solidFill>
                    <w14:schemeClr w14:val="tx1"/>
                  </w14:solidFill>
                </w14:textFill>
              </w:rPr>
              <w:t>身份证复印件</w:t>
            </w:r>
          </w:p>
        </w:tc>
      </w:tr>
    </w:tbl>
    <w:p>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pPr>
        <w:widowControl/>
        <w:wordWrap w:val="0"/>
        <w:spacing w:line="360" w:lineRule="auto"/>
        <w:jc w:val="center"/>
        <w:rPr>
          <w:rFonts w:ascii="仿宋_GB2312" w:hAnsi="Lucida Sans Unicode" w:eastAsia="仿宋_GB2312" w:cs="Lucida Sans Unicode"/>
          <w:color w:val="000000" w:themeColor="text1"/>
          <w:kern w:val="0"/>
          <w:sz w:val="24"/>
          <w:highlight w:val="none"/>
          <w14:textFill>
            <w14:solidFill>
              <w14:schemeClr w14:val="tx1"/>
            </w14:solidFill>
          </w14:textFill>
        </w:rPr>
      </w:pPr>
    </w:p>
    <w:p>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pPr>
        <w:widowControl/>
        <w:wordWrap/>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pPr>
        <w:widowControl/>
        <w:wordWrap w:val="0"/>
        <w:spacing w:line="460" w:lineRule="exact"/>
        <w:ind w:firstLine="3840" w:firstLineChars="1600"/>
        <w:jc w:val="left"/>
        <w:rPr>
          <w:rFonts w:ascii="宋体" w:hAnsi="宋体" w:cs="宋体"/>
          <w:b/>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pPr>
        <w:widowControl/>
        <w:spacing w:line="360" w:lineRule="auto"/>
        <w:ind w:firstLine="7228" w:firstLineChars="2250"/>
        <w:jc w:val="left"/>
        <w:rPr>
          <w:rFonts w:ascii="宋体" w:hAnsi="宋体" w:cs="宋体"/>
          <w:b/>
          <w:color w:val="000000" w:themeColor="text1"/>
          <w:kern w:val="0"/>
          <w:sz w:val="32"/>
          <w:szCs w:val="32"/>
          <w:highlight w:val="none"/>
          <w14:textFill>
            <w14:solidFill>
              <w14:schemeClr w14:val="tx1"/>
            </w14:solidFill>
          </w14:textFill>
        </w:rPr>
      </w:pPr>
    </w:p>
    <w:p>
      <w:pPr>
        <w:rPr>
          <w:rFonts w:ascii="宋体" w:hAnsi="宋体" w:cs="宋体"/>
          <w:b/>
          <w:color w:val="000000" w:themeColor="text1"/>
          <w:kern w:val="0"/>
          <w:sz w:val="32"/>
          <w:szCs w:val="32"/>
          <w:highlight w:val="none"/>
          <w14:textFill>
            <w14:solidFill>
              <w14:schemeClr w14:val="tx1"/>
            </w14:solidFill>
          </w14:textFill>
        </w:rPr>
      </w:pPr>
      <w:r>
        <w:rPr>
          <w:rFonts w:ascii="宋体" w:hAnsi="宋体" w:cs="宋体"/>
          <w:b/>
          <w:color w:val="000000" w:themeColor="text1"/>
          <w:kern w:val="0"/>
          <w:sz w:val="32"/>
          <w:szCs w:val="32"/>
          <w:highlight w:val="none"/>
          <w14:textFill>
            <w14:solidFill>
              <w14:schemeClr w14:val="tx1"/>
            </w14:solidFill>
          </w14:textFill>
        </w:rPr>
        <w:br w:type="page"/>
      </w:r>
    </w:p>
    <w:p>
      <w:pPr>
        <w:widowControl/>
        <w:snapToGrid w:val="0"/>
        <w:spacing w:before="156" w:after="156" w:line="360" w:lineRule="auto"/>
        <w:jc w:val="left"/>
        <w:outlineLvl w:val="0"/>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5" w:name="_Toc3342"/>
      <w:bookmarkStart w:id="86" w:name="_Toc24693"/>
      <w:bookmarkStart w:id="87" w:name="_Toc18105"/>
      <w:r>
        <w:rPr>
          <w:rFonts w:hint="eastAsia" w:ascii="黑体" w:hAnsi="黑体" w:eastAsia="黑体" w:cs="黑体"/>
          <w:b/>
          <w:bCs w:val="0"/>
          <w:color w:val="000000" w:themeColor="text1"/>
          <w:sz w:val="32"/>
          <w:szCs w:val="32"/>
          <w:highlight w:val="none"/>
          <w14:textFill>
            <w14:solidFill>
              <w14:schemeClr w14:val="tx1"/>
            </w14:solidFill>
          </w14:textFill>
        </w:rPr>
        <w:t>附件9               证明文件</w:t>
      </w:r>
      <w:bookmarkEnd w:id="85"/>
      <w:bookmarkEnd w:id="86"/>
      <w:bookmarkEnd w:id="87"/>
    </w:p>
    <w:p>
      <w:pPr>
        <w:pStyle w:val="13"/>
        <w:spacing w:beforeAutospacing="0" w:afterAutospacing="0" w:line="480" w:lineRule="auto"/>
        <w:ind w:firstLine="470" w:firstLineChars="224"/>
        <w:jc w:val="both"/>
        <w:rPr>
          <w:rFonts w:hint="eastAsia"/>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9.1</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资格审查资料</w:t>
      </w:r>
    </w:p>
    <w:p>
      <w:pPr>
        <w:pStyle w:val="13"/>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9.2产品技术参数支持资料</w:t>
      </w:r>
    </w:p>
    <w:p>
      <w:pPr>
        <w:pStyle w:val="13"/>
        <w:spacing w:beforeAutospacing="0" w:afterAutospacing="0" w:line="480" w:lineRule="auto"/>
        <w:ind w:firstLine="470" w:firstLineChars="224"/>
        <w:jc w:val="both"/>
        <w:rPr>
          <w:rFonts w:hint="eastAsia"/>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14:textFill>
            <w14:solidFill>
              <w14:schemeClr w14:val="tx1"/>
            </w14:solidFill>
          </w14:textFill>
        </w:rPr>
        <w:t>9.3</w:t>
      </w:r>
      <w:r>
        <w:rPr>
          <w:rFonts w:hint="eastAsia"/>
          <w:bCs/>
          <w:color w:val="000000" w:themeColor="text1"/>
          <w:sz w:val="21"/>
          <w:szCs w:val="21"/>
          <w:highlight w:val="none"/>
          <w:lang w:val="en-US" w:eastAsia="zh-CN"/>
          <w14:textFill>
            <w14:solidFill>
              <w14:schemeClr w14:val="tx1"/>
            </w14:solidFill>
          </w14:textFill>
        </w:rPr>
        <w:t xml:space="preserve"> </w:t>
      </w:r>
      <w:bookmarkStart w:id="88" w:name="_Toc17966"/>
      <w:r>
        <w:rPr>
          <w:rFonts w:hint="eastAsia"/>
          <w:bCs/>
          <w:color w:val="000000" w:themeColor="text1"/>
          <w:sz w:val="21"/>
          <w:szCs w:val="21"/>
          <w:highlight w:val="none"/>
          <w:lang w:val="en-US" w:eastAsia="zh-CN"/>
          <w14:textFill>
            <w14:solidFill>
              <w14:schemeClr w14:val="tx1"/>
            </w14:solidFill>
          </w14:textFill>
        </w:rPr>
        <w:t>评分标准中需提供的证明材料</w:t>
      </w:r>
    </w:p>
    <w:p>
      <w:pPr>
        <w:pStyle w:val="13"/>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w:t>
      </w:r>
      <w:r>
        <w:rPr>
          <w:rFonts w:hint="eastAsia"/>
          <w:bCs/>
          <w:color w:val="000000" w:themeColor="text1"/>
          <w:sz w:val="21"/>
          <w:szCs w:val="21"/>
          <w:highlight w:val="none"/>
          <w:lang w:val="en-US" w:eastAsia="zh-CN"/>
          <w14:textFill>
            <w14:solidFill>
              <w14:schemeClr w14:val="tx1"/>
            </w14:solidFill>
          </w14:textFill>
        </w:rPr>
        <w:t>4 供应商认为其他需要提供的证明材料</w:t>
      </w:r>
      <w:r>
        <w:rPr>
          <w:rFonts w:hint="eastAsia"/>
          <w:bCs/>
          <w:color w:val="000000" w:themeColor="text1"/>
          <w:sz w:val="21"/>
          <w:szCs w:val="21"/>
          <w:highlight w:val="none"/>
          <w14:textFill>
            <w14:solidFill>
              <w14:schemeClr w14:val="tx1"/>
            </w14:solidFill>
          </w14:textFill>
        </w:rPr>
        <w:t>。</w:t>
      </w: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pStyle w:val="13"/>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pPr>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9" w:name="_Toc12888"/>
      <w:bookmarkStart w:id="90" w:name="_Toc13726"/>
      <w:bookmarkStart w:id="91" w:name="_Toc16083"/>
      <w:r>
        <w:rPr>
          <w:rFonts w:hint="eastAsia" w:ascii="黑体" w:hAnsi="黑体" w:eastAsia="黑体" w:cs="黑体"/>
          <w:b/>
          <w:bCs w:val="0"/>
          <w:color w:val="000000" w:themeColor="text1"/>
          <w:kern w:val="0"/>
          <w:sz w:val="32"/>
          <w:szCs w:val="32"/>
          <w:highlight w:val="none"/>
          <w14:textFill>
            <w14:solidFill>
              <w14:schemeClr w14:val="tx1"/>
            </w14:solidFill>
          </w14:textFill>
        </w:rPr>
        <w:t xml:space="preserve">附件10        </w:t>
      </w:r>
      <w:bookmarkEnd w:id="88"/>
      <w:r>
        <w:rPr>
          <w:rFonts w:hint="eastAsia" w:ascii="黑体" w:hAnsi="黑体" w:eastAsia="黑体" w:cs="黑体"/>
          <w:b/>
          <w:bCs w:val="0"/>
          <w:color w:val="000000" w:themeColor="text1"/>
          <w:kern w:val="0"/>
          <w:sz w:val="32"/>
          <w:szCs w:val="32"/>
          <w:highlight w:val="none"/>
          <w14:textFill>
            <w14:solidFill>
              <w14:schemeClr w14:val="tx1"/>
            </w14:solidFill>
          </w14:textFill>
        </w:rPr>
        <w:t>供 应 商 承 诺 书</w:t>
      </w:r>
      <w:r>
        <w:rPr>
          <w:rFonts w:hint="eastAsia" w:ascii="黑体" w:hAnsi="黑体" w:eastAsia="黑体" w:cs="黑体"/>
          <w:b/>
          <w:bCs w:val="0"/>
          <w:color w:val="000000" w:themeColor="text1"/>
          <w:kern w:val="0"/>
          <w:sz w:val="32"/>
          <w:szCs w:val="32"/>
          <w:highlight w:val="none"/>
          <w:lang w:val="en-US" w:eastAsia="zh-CN"/>
          <w14:textFill>
            <w14:solidFill>
              <w14:schemeClr w14:val="tx1"/>
            </w14:solidFill>
          </w14:textFill>
        </w:rPr>
        <w:t xml:space="preserve"> </w:t>
      </w:r>
      <w:r>
        <w:rPr>
          <w:rFonts w:hint="eastAsia" w:ascii="黑体" w:hAnsi="黑体" w:eastAsia="黑体" w:cs="黑体"/>
          <w:b/>
          <w:bCs w:val="0"/>
          <w:color w:val="000000" w:themeColor="text1"/>
          <w:kern w:val="0"/>
          <w:sz w:val="32"/>
          <w:szCs w:val="32"/>
          <w:highlight w:val="none"/>
          <w14:textFill>
            <w14:solidFill>
              <w14:schemeClr w14:val="tx1"/>
            </w14:solidFill>
          </w14:textFill>
        </w:rPr>
        <w:t>（格式）</w:t>
      </w:r>
      <w:bookmarkEnd w:id="89"/>
      <w:bookmarkEnd w:id="90"/>
      <w:bookmarkEnd w:id="91"/>
    </w:p>
    <w:p>
      <w:pPr>
        <w:bidi w:val="0"/>
        <w:rPr>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公司名称</w:t>
      </w:r>
      <w:r>
        <w:rPr>
          <w:rFonts w:hint="eastAsia" w:ascii="宋体" w:hAnsi="宋体" w:eastAsia="宋体" w:cs="宋体"/>
          <w:color w:val="000000" w:themeColor="text1"/>
          <w:sz w:val="24"/>
          <w:szCs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法定代表人或委托人（签字）：                   年   月   日</w:t>
      </w:r>
    </w:p>
    <w:p>
      <w:pPr>
        <w:widowControl/>
        <w:spacing w:line="360" w:lineRule="auto"/>
        <w:ind w:firstLine="4305" w:firstLineChars="2050"/>
        <w:jc w:val="left"/>
        <w:rPr>
          <w:rFonts w:ascii="宋体" w:hAnsi="宋体" w:cs="宋体"/>
          <w:color w:val="000000" w:themeColor="text1"/>
          <w:kern w:val="0"/>
          <w:szCs w:val="21"/>
          <w:highlight w:val="none"/>
          <w14:textFill>
            <w14:solidFill>
              <w14:schemeClr w14:val="tx1"/>
            </w14:solidFill>
          </w14:textFill>
        </w:rPr>
      </w:pPr>
    </w:p>
    <w:p>
      <w:pPr>
        <w:pStyle w:val="34"/>
        <w:rPr>
          <w:rFonts w:ascii="宋体" w:hAnsi="宋体" w:cs="宋体"/>
          <w:color w:val="000000" w:themeColor="text1"/>
          <w:kern w:val="0"/>
          <w:szCs w:val="21"/>
          <w:highlight w:val="none"/>
          <w14:textFill>
            <w14:solidFill>
              <w14:schemeClr w14:val="tx1"/>
            </w14:solidFill>
          </w14:textFill>
        </w:rPr>
      </w:pPr>
    </w:p>
    <w:p>
      <w:pPr>
        <w:pStyle w:val="18"/>
        <w:rPr>
          <w:rFonts w:ascii="宋体" w:hAnsi="宋体" w:cs="宋体"/>
          <w:color w:val="000000" w:themeColor="text1"/>
          <w:kern w:val="0"/>
          <w:szCs w:val="21"/>
          <w:highlight w:val="none"/>
          <w14:textFill>
            <w14:solidFill>
              <w14:schemeClr w14:val="tx1"/>
            </w14:solidFill>
          </w14:textFill>
        </w:rPr>
      </w:pPr>
    </w:p>
    <w:p>
      <w:pPr>
        <w:pStyle w:val="13"/>
        <w:rPr>
          <w:color w:val="000000" w:themeColor="text1"/>
          <w:highlight w:val="none"/>
          <w14:textFill>
            <w14:solidFill>
              <w14:schemeClr w14:val="tx1"/>
            </w14:solidFill>
          </w14:textFill>
        </w:rPr>
      </w:pPr>
    </w:p>
    <w:p>
      <w:pPr>
        <w:jc w:val="cente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单位名称（自然人姓名）：</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联系地址和电话：</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（四）有依法缴纳税收和社会保障资金的良好记录；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供应商名称（盖章）：</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日期：       年         月          日</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2.供应商的法定代表人或者授权代表的签字或盖章应真实、有效，如由授权代表签字或盖章的，应提供“法定代表人授权书”。</w:t>
      </w:r>
    </w:p>
    <w:p>
      <w:pPr>
        <w:pStyle w:val="13"/>
        <w:spacing w:beforeAutospacing="0" w:afterAutospacing="0" w:line="460" w:lineRule="atLeast"/>
        <w:jc w:val="both"/>
        <w:rPr>
          <w:b/>
          <w:bCs/>
          <w:color w:val="000000" w:themeColor="text1"/>
          <w:sz w:val="28"/>
          <w:szCs w:val="28"/>
          <w:highlight w:val="none"/>
          <w14:textFill>
            <w14:solidFill>
              <w14:schemeClr w14:val="tx1"/>
            </w14:solidFill>
          </w14:textFill>
        </w:rPr>
        <w:sectPr>
          <w:pgSz w:w="11906" w:h="16838"/>
          <w:pgMar w:top="1417" w:right="1474" w:bottom="1417" w:left="1474" w:header="851" w:footer="624" w:gutter="0"/>
          <w:pgNumType w:fmt="decimal"/>
          <w:cols w:space="720" w:num="1"/>
          <w:docGrid w:type="lines" w:linePitch="319" w:charSpace="0"/>
        </w:sectPr>
      </w:pPr>
    </w:p>
    <w:p>
      <w:pPr>
        <w:bidi w:val="0"/>
        <w:rPr>
          <w:rFonts w:hint="eastAsia"/>
          <w:color w:val="000000" w:themeColor="text1"/>
          <w:highlight w:val="none"/>
          <w:lang w:eastAsia="zh-CN"/>
          <w14:textFill>
            <w14:solidFill>
              <w14:schemeClr w14:val="tx1"/>
            </w14:solidFill>
          </w14:textFill>
        </w:rPr>
      </w:pPr>
      <w:bookmarkStart w:id="92" w:name="_Toc31685"/>
      <w:bookmarkStart w:id="93" w:name="_Toc23394"/>
      <w:bookmarkStart w:id="94" w:name="_Toc25094"/>
    </w:p>
    <w:p>
      <w:pPr>
        <w:widowControl/>
        <w:snapToGrid w:val="0"/>
        <w:spacing w:line="360" w:lineRule="auto"/>
        <w:jc w:val="center"/>
        <w:outlineLvl w:val="0"/>
        <w:rPr>
          <w:rFonts w:ascii="宋体" w:hAnsi="宋体" w:cs="Lucida Sans Unicode"/>
          <w:b/>
          <w:color w:val="000000" w:themeColor="text1"/>
          <w:kern w:val="0"/>
          <w:sz w:val="24"/>
          <w:highlight w:val="none"/>
          <w14:textFill>
            <w14:solidFill>
              <w14:schemeClr w14:val="tx1"/>
            </w14:solidFill>
          </w14:textFill>
        </w:rPr>
      </w:pPr>
      <w:r>
        <w:rPr>
          <w:rFonts w:hint="eastAsia" w:ascii="宋体" w:hAnsi="宋体" w:cs="Lucida Sans Unicode"/>
          <w:b/>
          <w:color w:val="000000" w:themeColor="text1"/>
          <w:kern w:val="0"/>
          <w:sz w:val="24"/>
          <w:highlight w:val="none"/>
          <w:lang w:eastAsia="zh-CN"/>
          <w14:textFill>
            <w14:solidFill>
              <w14:schemeClr w14:val="tx1"/>
            </w14:solidFill>
          </w14:textFill>
        </w:rPr>
        <w:t>供应商</w:t>
      </w:r>
      <w:r>
        <w:rPr>
          <w:rFonts w:hint="eastAsia" w:ascii="宋体" w:hAnsi="宋体" w:cs="Lucida Sans Unicode"/>
          <w:b/>
          <w:color w:val="000000" w:themeColor="text1"/>
          <w:kern w:val="0"/>
          <w:sz w:val="24"/>
          <w:highlight w:val="none"/>
          <w14:textFill>
            <w14:solidFill>
              <w14:schemeClr w14:val="tx1"/>
            </w14:solidFill>
          </w14:textFill>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color w:val="000000" w:themeColor="text1"/>
          <w:kern w:val="0"/>
          <w:szCs w:val="21"/>
          <w:highlight w:val="none"/>
          <w14:textFill>
            <w14:solidFill>
              <w14:schemeClr w14:val="tx1"/>
            </w14:solidFill>
          </w14:textFill>
        </w:rPr>
        <w:t>备注：</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应当仔细核对</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文件中有关废标条款和评标标准，提供</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认为应当附加的其它内容，以充分证明其投标符合</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文件规定，并为评标提供充分依据。如果</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未能提供相关证明文件，将有可能导致废标或者无法得分。</w:t>
      </w:r>
    </w:p>
    <w:p>
      <w:pPr>
        <w:pStyle w:val="13"/>
        <w:spacing w:beforeAutospacing="0" w:afterAutospacing="0" w:line="460" w:lineRule="atLeast"/>
        <w:jc w:val="both"/>
        <w:rPr>
          <w:b/>
          <w:bCs/>
          <w:color w:val="000000" w:themeColor="text1"/>
          <w:sz w:val="28"/>
          <w:szCs w:val="28"/>
          <w:highlight w:val="none"/>
          <w14:textFill>
            <w14:solidFill>
              <w14:schemeClr w14:val="tx1"/>
            </w14:solidFill>
          </w14:textFill>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5"/>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5"/>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hint="eastAsia"/>
      </w:rPr>
    </w:pPr>
    <w:r>
      <w:rPr>
        <w:rFonts w:hint="eastAsia" w:ascii="宋体" w:hAnsi="宋体" w:cs="宋体"/>
        <w:color w:val="auto"/>
        <w:szCs w:val="21"/>
        <w:highlight w:val="none"/>
        <w:u w:val="none"/>
        <w:shd w:val="clear" w:color="auto" w:fill="FFFFFF"/>
        <w:lang w:val="en-US" w:eastAsia="zh-CN"/>
      </w:rPr>
      <w:t>驻马店市中心医院中心院区、妇儿院区一次性塑料瓶（袋）集中回收服务采购项目购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4CA5"/>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9C3002"/>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4EE39E4"/>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8577E"/>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AB3C3F"/>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3152C1"/>
    <w:rsid w:val="0C3957A5"/>
    <w:rsid w:val="0C507E2F"/>
    <w:rsid w:val="0C626DA7"/>
    <w:rsid w:val="0C6876AE"/>
    <w:rsid w:val="0C71390F"/>
    <w:rsid w:val="0C720EC8"/>
    <w:rsid w:val="0C7A373E"/>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5B5237"/>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211934"/>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1DF"/>
    <w:rsid w:val="148D52E3"/>
    <w:rsid w:val="14992B90"/>
    <w:rsid w:val="149F10C7"/>
    <w:rsid w:val="14AF1856"/>
    <w:rsid w:val="14AF19A3"/>
    <w:rsid w:val="14B53957"/>
    <w:rsid w:val="14C53ECE"/>
    <w:rsid w:val="14CF6CB0"/>
    <w:rsid w:val="14DC5FE6"/>
    <w:rsid w:val="14E002E6"/>
    <w:rsid w:val="14FC36BD"/>
    <w:rsid w:val="14FF5EA7"/>
    <w:rsid w:val="15031E3D"/>
    <w:rsid w:val="151E3A0F"/>
    <w:rsid w:val="152534E9"/>
    <w:rsid w:val="153A36AA"/>
    <w:rsid w:val="15477903"/>
    <w:rsid w:val="1557566D"/>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720D46"/>
    <w:rsid w:val="188F0211"/>
    <w:rsid w:val="18AD1BEB"/>
    <w:rsid w:val="18B3004A"/>
    <w:rsid w:val="18B31B6D"/>
    <w:rsid w:val="18B828C6"/>
    <w:rsid w:val="18B96080"/>
    <w:rsid w:val="18DB2CD8"/>
    <w:rsid w:val="18F67868"/>
    <w:rsid w:val="190B2D88"/>
    <w:rsid w:val="190E6B63"/>
    <w:rsid w:val="19123928"/>
    <w:rsid w:val="19194264"/>
    <w:rsid w:val="19283048"/>
    <w:rsid w:val="19420786"/>
    <w:rsid w:val="19427EC0"/>
    <w:rsid w:val="19540841"/>
    <w:rsid w:val="195711D7"/>
    <w:rsid w:val="195D2A3F"/>
    <w:rsid w:val="198310E9"/>
    <w:rsid w:val="198D747A"/>
    <w:rsid w:val="19A15638"/>
    <w:rsid w:val="19A74DFE"/>
    <w:rsid w:val="19A753EF"/>
    <w:rsid w:val="19BB441C"/>
    <w:rsid w:val="1A125525"/>
    <w:rsid w:val="1A5F4342"/>
    <w:rsid w:val="1A616E2C"/>
    <w:rsid w:val="1A7F369B"/>
    <w:rsid w:val="1A8C5D82"/>
    <w:rsid w:val="1A994988"/>
    <w:rsid w:val="1A9B546C"/>
    <w:rsid w:val="1AA3511F"/>
    <w:rsid w:val="1AAE3B54"/>
    <w:rsid w:val="1AC10987"/>
    <w:rsid w:val="1AE41750"/>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DEE3247"/>
    <w:rsid w:val="1E0345E3"/>
    <w:rsid w:val="1E1B7B7F"/>
    <w:rsid w:val="1E443370"/>
    <w:rsid w:val="1E656063"/>
    <w:rsid w:val="1E6B06A5"/>
    <w:rsid w:val="1E7F7D9E"/>
    <w:rsid w:val="1E840DA4"/>
    <w:rsid w:val="1EA5444C"/>
    <w:rsid w:val="1EB350EF"/>
    <w:rsid w:val="1EC21749"/>
    <w:rsid w:val="1EEB7C4E"/>
    <w:rsid w:val="1F072441"/>
    <w:rsid w:val="1F171B83"/>
    <w:rsid w:val="1F2D491A"/>
    <w:rsid w:val="1F66355F"/>
    <w:rsid w:val="1F7369C7"/>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9D2DE4"/>
    <w:rsid w:val="23B57016"/>
    <w:rsid w:val="23D4764B"/>
    <w:rsid w:val="23EC3718"/>
    <w:rsid w:val="24044EF2"/>
    <w:rsid w:val="2407139D"/>
    <w:rsid w:val="240B04F4"/>
    <w:rsid w:val="240E369A"/>
    <w:rsid w:val="242A0646"/>
    <w:rsid w:val="2435301D"/>
    <w:rsid w:val="243A0633"/>
    <w:rsid w:val="243D6E1A"/>
    <w:rsid w:val="24453D05"/>
    <w:rsid w:val="24607F91"/>
    <w:rsid w:val="246C581B"/>
    <w:rsid w:val="247C52A2"/>
    <w:rsid w:val="24984955"/>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243CE"/>
    <w:rsid w:val="274E2228"/>
    <w:rsid w:val="27517A93"/>
    <w:rsid w:val="275E53AF"/>
    <w:rsid w:val="276658E8"/>
    <w:rsid w:val="276F6846"/>
    <w:rsid w:val="277E30D2"/>
    <w:rsid w:val="27803F2A"/>
    <w:rsid w:val="27811F3E"/>
    <w:rsid w:val="27983FEE"/>
    <w:rsid w:val="27A34941"/>
    <w:rsid w:val="27EE3A7B"/>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4B1A54"/>
    <w:rsid w:val="295029E3"/>
    <w:rsid w:val="29543A59"/>
    <w:rsid w:val="2969197F"/>
    <w:rsid w:val="29746E87"/>
    <w:rsid w:val="297C03C2"/>
    <w:rsid w:val="299573AB"/>
    <w:rsid w:val="29BE5BD0"/>
    <w:rsid w:val="29C01572"/>
    <w:rsid w:val="29CA4207"/>
    <w:rsid w:val="29E74CE2"/>
    <w:rsid w:val="2A133E00"/>
    <w:rsid w:val="2A241B69"/>
    <w:rsid w:val="2A306A36"/>
    <w:rsid w:val="2A5372C6"/>
    <w:rsid w:val="2A5B03D8"/>
    <w:rsid w:val="2A6F6D07"/>
    <w:rsid w:val="2A882500"/>
    <w:rsid w:val="2AA35184"/>
    <w:rsid w:val="2AAB4E76"/>
    <w:rsid w:val="2AB63ABC"/>
    <w:rsid w:val="2AB63D0A"/>
    <w:rsid w:val="2AEA74E5"/>
    <w:rsid w:val="2B003D00"/>
    <w:rsid w:val="2B074D5E"/>
    <w:rsid w:val="2B100BA9"/>
    <w:rsid w:val="2B1B5825"/>
    <w:rsid w:val="2B1E3AFC"/>
    <w:rsid w:val="2B52032A"/>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422E"/>
    <w:rsid w:val="31496359"/>
    <w:rsid w:val="314D19A6"/>
    <w:rsid w:val="316177A4"/>
    <w:rsid w:val="316A13B6"/>
    <w:rsid w:val="31700E4B"/>
    <w:rsid w:val="3172683C"/>
    <w:rsid w:val="319446DE"/>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A93829"/>
    <w:rsid w:val="32B943EC"/>
    <w:rsid w:val="32BF2D77"/>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C625F"/>
    <w:rsid w:val="351D4C26"/>
    <w:rsid w:val="352E7D40"/>
    <w:rsid w:val="35361A77"/>
    <w:rsid w:val="35461A22"/>
    <w:rsid w:val="35483CC9"/>
    <w:rsid w:val="35605657"/>
    <w:rsid w:val="3578502D"/>
    <w:rsid w:val="35A815CB"/>
    <w:rsid w:val="35A85BD0"/>
    <w:rsid w:val="35AA1B9C"/>
    <w:rsid w:val="35D501BC"/>
    <w:rsid w:val="35DB09A6"/>
    <w:rsid w:val="36080591"/>
    <w:rsid w:val="3609472F"/>
    <w:rsid w:val="36203B2D"/>
    <w:rsid w:val="369B4CF0"/>
    <w:rsid w:val="36C93050"/>
    <w:rsid w:val="36D62629"/>
    <w:rsid w:val="36D76172"/>
    <w:rsid w:val="36D84407"/>
    <w:rsid w:val="36E833BB"/>
    <w:rsid w:val="36EB1E1B"/>
    <w:rsid w:val="36F17F0D"/>
    <w:rsid w:val="37224581"/>
    <w:rsid w:val="3735197D"/>
    <w:rsid w:val="373756A2"/>
    <w:rsid w:val="375E0DA6"/>
    <w:rsid w:val="377639AE"/>
    <w:rsid w:val="378B61A6"/>
    <w:rsid w:val="37A37E89"/>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312338"/>
    <w:rsid w:val="3B3C5B77"/>
    <w:rsid w:val="3B3D0FF2"/>
    <w:rsid w:val="3B521A18"/>
    <w:rsid w:val="3B8D2B96"/>
    <w:rsid w:val="3B923660"/>
    <w:rsid w:val="3BCA44BE"/>
    <w:rsid w:val="3C061F3A"/>
    <w:rsid w:val="3C0A04F9"/>
    <w:rsid w:val="3C3E7834"/>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E5820"/>
    <w:rsid w:val="3D942E29"/>
    <w:rsid w:val="3DA53531"/>
    <w:rsid w:val="3DB54E0C"/>
    <w:rsid w:val="3DB900C1"/>
    <w:rsid w:val="3DE91725"/>
    <w:rsid w:val="3DF159B1"/>
    <w:rsid w:val="3E135D25"/>
    <w:rsid w:val="3E1A106E"/>
    <w:rsid w:val="3E36303B"/>
    <w:rsid w:val="3E526044"/>
    <w:rsid w:val="3E5C591E"/>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E0002"/>
    <w:rsid w:val="407F2DE9"/>
    <w:rsid w:val="40920B61"/>
    <w:rsid w:val="40991379"/>
    <w:rsid w:val="409B3C3D"/>
    <w:rsid w:val="40F701DF"/>
    <w:rsid w:val="40FC0CF2"/>
    <w:rsid w:val="40FD480A"/>
    <w:rsid w:val="412A32F8"/>
    <w:rsid w:val="417F433E"/>
    <w:rsid w:val="419C4043"/>
    <w:rsid w:val="41B7239D"/>
    <w:rsid w:val="41D852BC"/>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09668F"/>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411CE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12392"/>
    <w:rsid w:val="4ABF5E17"/>
    <w:rsid w:val="4AD52CE0"/>
    <w:rsid w:val="4AE01A66"/>
    <w:rsid w:val="4AE104D6"/>
    <w:rsid w:val="4AE724D1"/>
    <w:rsid w:val="4AE77140"/>
    <w:rsid w:val="4AEA4061"/>
    <w:rsid w:val="4AED707B"/>
    <w:rsid w:val="4AF519F8"/>
    <w:rsid w:val="4AFA2F07"/>
    <w:rsid w:val="4B015D61"/>
    <w:rsid w:val="4B0B7979"/>
    <w:rsid w:val="4B1530DD"/>
    <w:rsid w:val="4B520DF4"/>
    <w:rsid w:val="4B603107"/>
    <w:rsid w:val="4B7A5635"/>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C84335"/>
    <w:rsid w:val="4CE9350A"/>
    <w:rsid w:val="4D182FA0"/>
    <w:rsid w:val="4D225F85"/>
    <w:rsid w:val="4D297BF3"/>
    <w:rsid w:val="4D2D0EAF"/>
    <w:rsid w:val="4D2F4E5E"/>
    <w:rsid w:val="4D4B0A43"/>
    <w:rsid w:val="4D795A49"/>
    <w:rsid w:val="4D7F0082"/>
    <w:rsid w:val="4D952FD9"/>
    <w:rsid w:val="4D970662"/>
    <w:rsid w:val="4DB33393"/>
    <w:rsid w:val="4DBC3CE3"/>
    <w:rsid w:val="4DCB51C5"/>
    <w:rsid w:val="4DCF1E0D"/>
    <w:rsid w:val="4DD632D9"/>
    <w:rsid w:val="4DE05D9E"/>
    <w:rsid w:val="4DE05DF9"/>
    <w:rsid w:val="4DE44800"/>
    <w:rsid w:val="4DEE0709"/>
    <w:rsid w:val="4DFC14EA"/>
    <w:rsid w:val="4DFF6815"/>
    <w:rsid w:val="4E0A3427"/>
    <w:rsid w:val="4E2423AC"/>
    <w:rsid w:val="4E287F63"/>
    <w:rsid w:val="4E2F2707"/>
    <w:rsid w:val="4E304B5D"/>
    <w:rsid w:val="4E611B8B"/>
    <w:rsid w:val="4E6279D7"/>
    <w:rsid w:val="4E682F8C"/>
    <w:rsid w:val="4E6A7BB7"/>
    <w:rsid w:val="4E9133C2"/>
    <w:rsid w:val="4EB23220"/>
    <w:rsid w:val="4F0773B4"/>
    <w:rsid w:val="4F241019"/>
    <w:rsid w:val="4F307BB1"/>
    <w:rsid w:val="4F3D562D"/>
    <w:rsid w:val="4F5C4EE0"/>
    <w:rsid w:val="4F6E1972"/>
    <w:rsid w:val="4F943166"/>
    <w:rsid w:val="4F9C19A5"/>
    <w:rsid w:val="4FBA02A1"/>
    <w:rsid w:val="4FE7106E"/>
    <w:rsid w:val="4FF82FCD"/>
    <w:rsid w:val="50053943"/>
    <w:rsid w:val="502344EE"/>
    <w:rsid w:val="50374A3C"/>
    <w:rsid w:val="50550E55"/>
    <w:rsid w:val="507E28CB"/>
    <w:rsid w:val="50901457"/>
    <w:rsid w:val="509F43E4"/>
    <w:rsid w:val="50A54D3E"/>
    <w:rsid w:val="50B82E88"/>
    <w:rsid w:val="50BB32A7"/>
    <w:rsid w:val="50F1402B"/>
    <w:rsid w:val="50FD2AD9"/>
    <w:rsid w:val="51081E85"/>
    <w:rsid w:val="51097D9A"/>
    <w:rsid w:val="51237D2E"/>
    <w:rsid w:val="513D6074"/>
    <w:rsid w:val="515B06D0"/>
    <w:rsid w:val="51996737"/>
    <w:rsid w:val="51B408B8"/>
    <w:rsid w:val="51B80848"/>
    <w:rsid w:val="51CC0868"/>
    <w:rsid w:val="51D5340F"/>
    <w:rsid w:val="52037C16"/>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747599"/>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965B59"/>
    <w:rsid w:val="57D1153D"/>
    <w:rsid w:val="57FA3774"/>
    <w:rsid w:val="58037CCA"/>
    <w:rsid w:val="58084A3C"/>
    <w:rsid w:val="582772A7"/>
    <w:rsid w:val="58531B77"/>
    <w:rsid w:val="585D2975"/>
    <w:rsid w:val="585F64F9"/>
    <w:rsid w:val="587E3341"/>
    <w:rsid w:val="587F428B"/>
    <w:rsid w:val="58801DB1"/>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2DD8"/>
    <w:rsid w:val="5E7251A2"/>
    <w:rsid w:val="5E7C3591"/>
    <w:rsid w:val="5E9D0E18"/>
    <w:rsid w:val="5EA26F25"/>
    <w:rsid w:val="5EA341D7"/>
    <w:rsid w:val="5EA755DE"/>
    <w:rsid w:val="5ED35F0E"/>
    <w:rsid w:val="5EDF7832"/>
    <w:rsid w:val="5EFC1390"/>
    <w:rsid w:val="5EFC3EB6"/>
    <w:rsid w:val="5F03335D"/>
    <w:rsid w:val="5F0368C7"/>
    <w:rsid w:val="5F145C8B"/>
    <w:rsid w:val="5F1544E7"/>
    <w:rsid w:val="5F197EE8"/>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975975"/>
    <w:rsid w:val="60AA3E6F"/>
    <w:rsid w:val="60FF21D9"/>
    <w:rsid w:val="611E37D0"/>
    <w:rsid w:val="613021B3"/>
    <w:rsid w:val="61306A6A"/>
    <w:rsid w:val="613253FD"/>
    <w:rsid w:val="61421F29"/>
    <w:rsid w:val="61712185"/>
    <w:rsid w:val="618B7207"/>
    <w:rsid w:val="618D5DF4"/>
    <w:rsid w:val="61907E69"/>
    <w:rsid w:val="61A90D68"/>
    <w:rsid w:val="61B43A15"/>
    <w:rsid w:val="62065A1D"/>
    <w:rsid w:val="6213792C"/>
    <w:rsid w:val="621775E2"/>
    <w:rsid w:val="621C0D9D"/>
    <w:rsid w:val="622F7552"/>
    <w:rsid w:val="6250406E"/>
    <w:rsid w:val="627D6831"/>
    <w:rsid w:val="62811B1C"/>
    <w:rsid w:val="62A20409"/>
    <w:rsid w:val="62B54B44"/>
    <w:rsid w:val="62E045DA"/>
    <w:rsid w:val="62E454A1"/>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10035"/>
    <w:rsid w:val="63B82D47"/>
    <w:rsid w:val="63C74D38"/>
    <w:rsid w:val="63EE4692"/>
    <w:rsid w:val="63FD622D"/>
    <w:rsid w:val="64057D4B"/>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3710F"/>
    <w:rsid w:val="659B1EBA"/>
    <w:rsid w:val="65A83379"/>
    <w:rsid w:val="65B461E9"/>
    <w:rsid w:val="65BE39A8"/>
    <w:rsid w:val="65FB3FBE"/>
    <w:rsid w:val="66247D11"/>
    <w:rsid w:val="662A7F2C"/>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6C3D80"/>
    <w:rsid w:val="698A5EE4"/>
    <w:rsid w:val="69C811ED"/>
    <w:rsid w:val="69D33070"/>
    <w:rsid w:val="69E97E75"/>
    <w:rsid w:val="69FB5D9E"/>
    <w:rsid w:val="69FF6FDA"/>
    <w:rsid w:val="6A060AF0"/>
    <w:rsid w:val="6A1A3007"/>
    <w:rsid w:val="6A1E645E"/>
    <w:rsid w:val="6A417049"/>
    <w:rsid w:val="6A7903E5"/>
    <w:rsid w:val="6A8219B9"/>
    <w:rsid w:val="6AA03032"/>
    <w:rsid w:val="6AA86FEC"/>
    <w:rsid w:val="6ACB20F7"/>
    <w:rsid w:val="6ADA6AC4"/>
    <w:rsid w:val="6ADB11D6"/>
    <w:rsid w:val="6B1A2C3C"/>
    <w:rsid w:val="6B221F4E"/>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67B5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10952C1"/>
    <w:rsid w:val="713F70AB"/>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663B7"/>
    <w:rsid w:val="735C5949"/>
    <w:rsid w:val="73671287"/>
    <w:rsid w:val="73737DA5"/>
    <w:rsid w:val="73740A39"/>
    <w:rsid w:val="73763B7F"/>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1323F"/>
    <w:rsid w:val="756F17F9"/>
    <w:rsid w:val="757E5B9F"/>
    <w:rsid w:val="75825461"/>
    <w:rsid w:val="75916599"/>
    <w:rsid w:val="759926FC"/>
    <w:rsid w:val="75A24276"/>
    <w:rsid w:val="75AA231D"/>
    <w:rsid w:val="75AD6340"/>
    <w:rsid w:val="75B402AC"/>
    <w:rsid w:val="75DF5F11"/>
    <w:rsid w:val="75E8633A"/>
    <w:rsid w:val="76393874"/>
    <w:rsid w:val="763F09AA"/>
    <w:rsid w:val="764F3FCC"/>
    <w:rsid w:val="7650339F"/>
    <w:rsid w:val="76603C9A"/>
    <w:rsid w:val="76832D41"/>
    <w:rsid w:val="76896296"/>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C85512"/>
    <w:rsid w:val="77E37A12"/>
    <w:rsid w:val="77FE3468"/>
    <w:rsid w:val="78250553"/>
    <w:rsid w:val="784E2046"/>
    <w:rsid w:val="78546F0C"/>
    <w:rsid w:val="786778FE"/>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4646"/>
    <w:rsid w:val="7AFE508C"/>
    <w:rsid w:val="7B0A3BCA"/>
    <w:rsid w:val="7B106C42"/>
    <w:rsid w:val="7B345AA9"/>
    <w:rsid w:val="7B4048C1"/>
    <w:rsid w:val="7B4C5DF7"/>
    <w:rsid w:val="7B73082F"/>
    <w:rsid w:val="7B7B492E"/>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27444"/>
    <w:rsid w:val="7F185A04"/>
    <w:rsid w:val="7F1C613E"/>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5"/>
    <w:autoRedefine/>
    <w:qFormat/>
    <w:uiPriority w:val="0"/>
    <w:pPr>
      <w:keepNext/>
      <w:keepLines/>
      <w:spacing w:before="340" w:after="330" w:line="576" w:lineRule="auto"/>
      <w:outlineLvl w:val="0"/>
    </w:pPr>
    <w:rPr>
      <w:b/>
      <w:bCs/>
      <w:kern w:val="44"/>
      <w:sz w:val="44"/>
      <w:szCs w:val="44"/>
    </w:rPr>
  </w:style>
  <w:style w:type="paragraph" w:styleId="8">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9">
    <w:name w:val="heading 3"/>
    <w:basedOn w:val="1"/>
    <w:next w:val="1"/>
    <w:autoRedefine/>
    <w:qFormat/>
    <w:uiPriority w:val="0"/>
    <w:pPr>
      <w:keepNext/>
      <w:keepLines/>
      <w:spacing w:before="260" w:after="260" w:line="416" w:lineRule="auto"/>
      <w:outlineLvl w:val="2"/>
    </w:pPr>
    <w:rPr>
      <w:b/>
      <w:bCs/>
      <w:sz w:val="32"/>
      <w:szCs w:val="32"/>
    </w:rPr>
  </w:style>
  <w:style w:type="paragraph" w:styleId="10">
    <w:name w:val="heading 4"/>
    <w:basedOn w:val="1"/>
    <w:next w:val="1"/>
    <w:autoRedefine/>
    <w:qFormat/>
    <w:uiPriority w:val="0"/>
    <w:pPr>
      <w:keepNext/>
      <w:keepLines/>
      <w:spacing w:line="360" w:lineRule="auto"/>
      <w:outlineLvl w:val="3"/>
    </w:pPr>
    <w:rPr>
      <w:rFonts w:ascii="Arial" w:hAnsi="Arial"/>
      <w:b/>
      <w:bCs/>
      <w:szCs w:val="28"/>
    </w:rPr>
  </w:style>
  <w:style w:type="paragraph" w:styleId="11">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7">
    <w:name w:val="Default Paragraph Font"/>
    <w:autoRedefine/>
    <w:semiHidden/>
    <w:unhideWhenUsed/>
    <w:qFormat/>
    <w:uiPriority w:val="1"/>
  </w:style>
  <w:style w:type="table" w:default="1" w:styleId="35">
    <w:name w:val="Normal Table"/>
    <w:autoRedefine/>
    <w:semiHidden/>
    <w:unhideWhenUsed/>
    <w:qFormat/>
    <w:uiPriority w:val="99"/>
    <w:tblPr>
      <w:tblCellMar>
        <w:top w:w="0" w:type="dxa"/>
        <w:left w:w="108" w:type="dxa"/>
        <w:bottom w:w="0" w:type="dxa"/>
        <w:right w:w="108" w:type="dxa"/>
      </w:tblCellMar>
    </w:tblPr>
  </w:style>
  <w:style w:type="paragraph" w:customStyle="1" w:styleId="2">
    <w:name w:val="无间隔1"/>
    <w:basedOn w:val="1"/>
    <w:next w:val="3"/>
    <w:autoRedefine/>
    <w:qFormat/>
    <w:uiPriority w:val="1"/>
    <w:pPr>
      <w:spacing w:line="400" w:lineRule="exact"/>
    </w:pPr>
    <w:rPr>
      <w:sz w:val="24"/>
    </w:rPr>
  </w:style>
  <w:style w:type="paragraph" w:styleId="3">
    <w:name w:val="caption"/>
    <w:basedOn w:val="1"/>
    <w:next w:val="1"/>
    <w:qFormat/>
    <w:uiPriority w:val="0"/>
    <w:rPr>
      <w:rFonts w:ascii="Cambria" w:hAnsi="Cambria" w:eastAsia="黑体"/>
      <w:sz w:val="20"/>
      <w:szCs w:val="20"/>
    </w:rPr>
  </w:style>
  <w:style w:type="paragraph" w:styleId="5">
    <w:name w:val="Body Text"/>
    <w:basedOn w:val="1"/>
    <w:next w:val="6"/>
    <w:link w:val="75"/>
    <w:autoRedefine/>
    <w:qFormat/>
    <w:uiPriority w:val="0"/>
  </w:style>
  <w:style w:type="paragraph" w:customStyle="1" w:styleId="6">
    <w:name w:val="Default"/>
    <w:next w:val="7"/>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List Number"/>
    <w:basedOn w:val="1"/>
    <w:autoRedefine/>
    <w:qFormat/>
    <w:uiPriority w:val="0"/>
    <w:pPr>
      <w:widowControl/>
      <w:spacing w:beforeAutospacing="1" w:afterAutospacing="1"/>
      <w:jc w:val="left"/>
    </w:pPr>
    <w:rPr>
      <w:rFonts w:ascii="宋体" w:hAnsi="宋体" w:cs="宋体"/>
      <w:kern w:val="0"/>
      <w:sz w:val="24"/>
    </w:rPr>
  </w:style>
  <w:style w:type="paragraph" w:styleId="13">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4">
    <w:name w:val="Document Map"/>
    <w:basedOn w:val="1"/>
    <w:link w:val="77"/>
    <w:autoRedefine/>
    <w:qFormat/>
    <w:uiPriority w:val="0"/>
    <w:rPr>
      <w:rFonts w:ascii="宋体" w:hAnsi="Calibri"/>
      <w:sz w:val="18"/>
      <w:szCs w:val="18"/>
    </w:rPr>
  </w:style>
  <w:style w:type="paragraph" w:styleId="15">
    <w:name w:val="annotation text"/>
    <w:basedOn w:val="1"/>
    <w:autoRedefine/>
    <w:qFormat/>
    <w:uiPriority w:val="0"/>
    <w:pPr>
      <w:jc w:val="left"/>
    </w:pPr>
  </w:style>
  <w:style w:type="paragraph" w:styleId="16">
    <w:name w:val="Body Text 3"/>
    <w:basedOn w:val="1"/>
    <w:autoRedefine/>
    <w:qFormat/>
    <w:uiPriority w:val="0"/>
    <w:rPr>
      <w:sz w:val="16"/>
      <w:szCs w:val="16"/>
    </w:rPr>
  </w:style>
  <w:style w:type="paragraph" w:styleId="17">
    <w:name w:val="Body Text Indent"/>
    <w:basedOn w:val="1"/>
    <w:next w:val="18"/>
    <w:autoRedefine/>
    <w:qFormat/>
    <w:uiPriority w:val="0"/>
    <w:pPr>
      <w:widowControl/>
      <w:spacing w:beforeAutospacing="1" w:afterAutospacing="1"/>
      <w:jc w:val="left"/>
    </w:pPr>
    <w:rPr>
      <w:rFonts w:ascii="宋体" w:hAnsi="宋体" w:cs="宋体"/>
      <w:kern w:val="0"/>
      <w:sz w:val="24"/>
    </w:rPr>
  </w:style>
  <w:style w:type="paragraph" w:styleId="18">
    <w:name w:val="Body Text First Indent 2"/>
    <w:basedOn w:val="1"/>
    <w:autoRedefine/>
    <w:qFormat/>
    <w:uiPriority w:val="0"/>
    <w:pPr>
      <w:ind w:firstLine="420" w:firstLineChars="200"/>
    </w:pPr>
  </w:style>
  <w:style w:type="paragraph" w:styleId="19">
    <w:name w:val="List 2"/>
    <w:basedOn w:val="1"/>
    <w:autoRedefine/>
    <w:qFormat/>
    <w:uiPriority w:val="0"/>
    <w:pPr>
      <w:ind w:left="100" w:leftChars="200" w:hanging="200" w:hangingChars="200"/>
    </w:pPr>
  </w:style>
  <w:style w:type="paragraph" w:styleId="20">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21">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2">
    <w:name w:val="Plain Text"/>
    <w:basedOn w:val="1"/>
    <w:autoRedefine/>
    <w:qFormat/>
    <w:uiPriority w:val="0"/>
    <w:pPr>
      <w:widowControl/>
      <w:spacing w:beforeAutospacing="1" w:afterAutospacing="1"/>
      <w:jc w:val="left"/>
    </w:pPr>
    <w:rPr>
      <w:rFonts w:ascii="宋体" w:hAnsi="宋体" w:cs="宋体"/>
      <w:kern w:val="0"/>
      <w:sz w:val="24"/>
    </w:rPr>
  </w:style>
  <w:style w:type="paragraph" w:styleId="23">
    <w:name w:val="Date"/>
    <w:basedOn w:val="1"/>
    <w:next w:val="1"/>
    <w:autoRedefine/>
    <w:qFormat/>
    <w:uiPriority w:val="0"/>
    <w:pPr>
      <w:ind w:left="100" w:leftChars="2500"/>
    </w:pPr>
    <w:rPr>
      <w:rFonts w:ascii="宋体" w:hAnsi="宋体"/>
      <w:sz w:val="28"/>
    </w:rPr>
  </w:style>
  <w:style w:type="paragraph" w:styleId="24">
    <w:name w:val="Body Text Indent 2"/>
    <w:basedOn w:val="1"/>
    <w:autoRedefine/>
    <w:qFormat/>
    <w:uiPriority w:val="0"/>
    <w:pPr>
      <w:spacing w:line="480" w:lineRule="auto"/>
      <w:ind w:left="420" w:leftChars="200"/>
    </w:pPr>
  </w:style>
  <w:style w:type="paragraph" w:styleId="25">
    <w:name w:val="footer"/>
    <w:basedOn w:val="1"/>
    <w:autoRedefine/>
    <w:qFormat/>
    <w:uiPriority w:val="0"/>
    <w:pPr>
      <w:tabs>
        <w:tab w:val="center" w:pos="4153"/>
        <w:tab w:val="right" w:pos="8306"/>
      </w:tabs>
      <w:snapToGrid w:val="0"/>
      <w:jc w:val="left"/>
    </w:pPr>
    <w:rPr>
      <w:sz w:val="18"/>
      <w:szCs w:val="18"/>
    </w:rPr>
  </w:style>
  <w:style w:type="paragraph" w:styleId="26">
    <w:name w:val="envelope return"/>
    <w:basedOn w:val="1"/>
    <w:autoRedefine/>
    <w:unhideWhenUsed/>
    <w:qFormat/>
    <w:uiPriority w:val="99"/>
    <w:pPr>
      <w:snapToGrid w:val="0"/>
    </w:pPr>
    <w:rPr>
      <w:rFonts w:ascii="Arial" w:hAnsi="Arial"/>
    </w:rPr>
  </w:style>
  <w:style w:type="paragraph" w:styleId="27">
    <w:name w:val="toc 1"/>
    <w:basedOn w:val="1"/>
    <w:next w:val="1"/>
    <w:autoRedefine/>
    <w:qFormat/>
    <w:uiPriority w:val="0"/>
  </w:style>
  <w:style w:type="paragraph" w:styleId="28">
    <w:name w:val="List"/>
    <w:basedOn w:val="1"/>
    <w:autoRedefine/>
    <w:qFormat/>
    <w:uiPriority w:val="0"/>
    <w:pPr>
      <w:ind w:left="200" w:hanging="200" w:hangingChars="200"/>
    </w:pPr>
  </w:style>
  <w:style w:type="paragraph" w:styleId="29">
    <w:name w:val="Body Text 2"/>
    <w:basedOn w:val="1"/>
    <w:next w:val="5"/>
    <w:autoRedefine/>
    <w:qFormat/>
    <w:uiPriority w:val="0"/>
    <w:pPr>
      <w:spacing w:line="480" w:lineRule="auto"/>
    </w:pPr>
  </w:style>
  <w:style w:type="paragraph" w:styleId="30">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1">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2">
    <w:name w:val="Normal (Web)"/>
    <w:basedOn w:val="1"/>
    <w:autoRedefine/>
    <w:qFormat/>
    <w:uiPriority w:val="99"/>
    <w:pPr>
      <w:spacing w:before="100" w:beforeAutospacing="1" w:after="100" w:afterAutospacing="1"/>
      <w:jc w:val="left"/>
    </w:pPr>
    <w:rPr>
      <w:kern w:val="0"/>
      <w:sz w:val="24"/>
    </w:rPr>
  </w:style>
  <w:style w:type="paragraph" w:styleId="33">
    <w:name w:val="Title"/>
    <w:basedOn w:val="1"/>
    <w:autoRedefine/>
    <w:qFormat/>
    <w:uiPriority w:val="0"/>
    <w:pPr>
      <w:jc w:val="center"/>
      <w:outlineLvl w:val="0"/>
    </w:pPr>
    <w:rPr>
      <w:rFonts w:ascii="Arial" w:hAnsi="Arial" w:cs="Arial"/>
      <w:b/>
      <w:bCs/>
      <w:sz w:val="32"/>
      <w:szCs w:val="32"/>
    </w:rPr>
  </w:style>
  <w:style w:type="paragraph" w:styleId="34">
    <w:name w:val="Body Text First Indent"/>
    <w:basedOn w:val="5"/>
    <w:next w:val="18"/>
    <w:autoRedefine/>
    <w:qFormat/>
    <w:uiPriority w:val="0"/>
    <w:pPr>
      <w:spacing w:line="360" w:lineRule="auto"/>
      <w:ind w:firstLine="420" w:firstLineChars="100"/>
    </w:pPr>
    <w:rPr>
      <w:szCs w:val="21"/>
    </w:rPr>
  </w:style>
  <w:style w:type="table" w:styleId="36">
    <w:name w:val="Table Grid"/>
    <w:basedOn w:val="35"/>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autoRedefine/>
    <w:qFormat/>
    <w:uiPriority w:val="0"/>
    <w:rPr>
      <w:b/>
      <w:bCs/>
      <w:szCs w:val="24"/>
    </w:rPr>
  </w:style>
  <w:style w:type="character" w:styleId="39">
    <w:name w:val="page number"/>
    <w:basedOn w:val="37"/>
    <w:autoRedefine/>
    <w:qFormat/>
    <w:uiPriority w:val="0"/>
  </w:style>
  <w:style w:type="character" w:styleId="40">
    <w:name w:val="FollowedHyperlink"/>
    <w:autoRedefine/>
    <w:qFormat/>
    <w:uiPriority w:val="0"/>
    <w:rPr>
      <w:color w:val="333333"/>
      <w:szCs w:val="24"/>
      <w:u w:val="none"/>
    </w:rPr>
  </w:style>
  <w:style w:type="character" w:styleId="41">
    <w:name w:val="Emphasis"/>
    <w:basedOn w:val="37"/>
    <w:autoRedefine/>
    <w:qFormat/>
    <w:uiPriority w:val="0"/>
  </w:style>
  <w:style w:type="character" w:styleId="42">
    <w:name w:val="HTML Definition"/>
    <w:basedOn w:val="37"/>
    <w:autoRedefine/>
    <w:qFormat/>
    <w:uiPriority w:val="0"/>
  </w:style>
  <w:style w:type="character" w:styleId="43">
    <w:name w:val="HTML Typewriter"/>
    <w:basedOn w:val="37"/>
    <w:autoRedefine/>
    <w:qFormat/>
    <w:uiPriority w:val="0"/>
    <w:rPr>
      <w:rFonts w:hint="default" w:ascii="monospace" w:hAnsi="monospace" w:eastAsia="monospace" w:cs="monospace"/>
      <w:sz w:val="20"/>
    </w:rPr>
  </w:style>
  <w:style w:type="character" w:styleId="44">
    <w:name w:val="HTML Acronym"/>
    <w:basedOn w:val="37"/>
    <w:autoRedefine/>
    <w:qFormat/>
    <w:uiPriority w:val="0"/>
  </w:style>
  <w:style w:type="character" w:styleId="45">
    <w:name w:val="HTML Variable"/>
    <w:basedOn w:val="37"/>
    <w:autoRedefine/>
    <w:qFormat/>
    <w:uiPriority w:val="0"/>
  </w:style>
  <w:style w:type="character" w:styleId="46">
    <w:name w:val="Hyperlink"/>
    <w:basedOn w:val="37"/>
    <w:autoRedefine/>
    <w:qFormat/>
    <w:uiPriority w:val="0"/>
    <w:rPr>
      <w:color w:val="333333"/>
      <w:szCs w:val="24"/>
      <w:u w:val="none"/>
    </w:rPr>
  </w:style>
  <w:style w:type="character" w:styleId="47">
    <w:name w:val="HTML Code"/>
    <w:basedOn w:val="37"/>
    <w:autoRedefine/>
    <w:qFormat/>
    <w:uiPriority w:val="0"/>
    <w:rPr>
      <w:rFonts w:ascii="monospace" w:hAnsi="monospace" w:eastAsia="monospace" w:cs="monospace"/>
      <w:sz w:val="20"/>
    </w:rPr>
  </w:style>
  <w:style w:type="character" w:styleId="48">
    <w:name w:val="HTML Cite"/>
    <w:basedOn w:val="37"/>
    <w:autoRedefine/>
    <w:qFormat/>
    <w:uiPriority w:val="0"/>
  </w:style>
  <w:style w:type="character" w:styleId="49">
    <w:name w:val="HTML Keyboard"/>
    <w:basedOn w:val="37"/>
    <w:autoRedefine/>
    <w:qFormat/>
    <w:uiPriority w:val="0"/>
    <w:rPr>
      <w:rFonts w:hint="default" w:ascii="monospace" w:hAnsi="monospace" w:eastAsia="monospace" w:cs="monospace"/>
      <w:sz w:val="20"/>
    </w:rPr>
  </w:style>
  <w:style w:type="character" w:styleId="50">
    <w:name w:val="HTML Sample"/>
    <w:basedOn w:val="37"/>
    <w:autoRedefine/>
    <w:qFormat/>
    <w:uiPriority w:val="0"/>
    <w:rPr>
      <w:rFonts w:hint="default" w:ascii="monospace" w:hAnsi="monospace" w:eastAsia="monospace" w:cs="monospace"/>
    </w:rPr>
  </w:style>
  <w:style w:type="paragraph" w:customStyle="1" w:styleId="51">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2">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3">
    <w:name w:val="No Spacing1"/>
    <w:basedOn w:val="1"/>
    <w:autoRedefine/>
    <w:qFormat/>
    <w:uiPriority w:val="0"/>
    <w:pPr>
      <w:spacing w:line="400" w:lineRule="exact"/>
    </w:pPr>
    <w:rPr>
      <w:sz w:val="24"/>
    </w:rPr>
  </w:style>
  <w:style w:type="paragraph" w:customStyle="1" w:styleId="54">
    <w:name w:val="大标题"/>
    <w:basedOn w:val="1"/>
    <w:next w:val="18"/>
    <w:autoRedefine/>
    <w:qFormat/>
    <w:uiPriority w:val="0"/>
    <w:pPr>
      <w:jc w:val="center"/>
    </w:pPr>
    <w:rPr>
      <w:rFonts w:ascii="Arial" w:hAnsi="Arial"/>
      <w:b/>
      <w:sz w:val="28"/>
    </w:rPr>
  </w:style>
  <w:style w:type="paragraph" w:customStyle="1" w:styleId="55">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6">
    <w:name w:val="Char"/>
    <w:basedOn w:val="1"/>
    <w:autoRedefine/>
    <w:qFormat/>
    <w:uiPriority w:val="0"/>
  </w:style>
  <w:style w:type="paragraph" w:customStyle="1" w:styleId="57">
    <w:name w:val="正文缩进1"/>
    <w:basedOn w:val="1"/>
    <w:autoRedefine/>
    <w:qFormat/>
    <w:uiPriority w:val="0"/>
    <w:pPr>
      <w:widowControl/>
      <w:ind w:firstLine="420"/>
      <w:jc w:val="left"/>
    </w:pPr>
    <w:rPr>
      <w:kern w:val="0"/>
      <w:szCs w:val="20"/>
    </w:rPr>
  </w:style>
  <w:style w:type="paragraph" w:customStyle="1" w:styleId="58">
    <w:name w:val="列出段落2"/>
    <w:basedOn w:val="1"/>
    <w:autoRedefine/>
    <w:qFormat/>
    <w:uiPriority w:val="34"/>
    <w:pPr>
      <w:ind w:firstLine="420" w:firstLineChars="200"/>
    </w:pPr>
  </w:style>
  <w:style w:type="paragraph" w:customStyle="1" w:styleId="59">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60">
    <w:name w:val="1"/>
    <w:basedOn w:val="1"/>
    <w:autoRedefine/>
    <w:qFormat/>
    <w:uiPriority w:val="0"/>
    <w:pPr>
      <w:widowControl/>
      <w:spacing w:beforeAutospacing="1" w:afterAutospacing="1"/>
      <w:jc w:val="left"/>
    </w:pPr>
    <w:rPr>
      <w:rFonts w:ascii="宋体" w:hAnsi="宋体" w:cs="宋体"/>
      <w:kern w:val="0"/>
      <w:sz w:val="24"/>
    </w:rPr>
  </w:style>
  <w:style w:type="paragraph" w:styleId="61">
    <w:name w:val="No Spacing"/>
    <w:autoRedefine/>
    <w:qFormat/>
    <w:uiPriority w:val="1"/>
    <w:rPr>
      <w:rFonts w:ascii="Calibri" w:hAnsi="Calibri" w:eastAsia="宋体" w:cs="Times New Roman"/>
      <w:sz w:val="22"/>
      <w:szCs w:val="22"/>
      <w:lang w:val="en-US" w:eastAsia="zh-CN" w:bidi="ar-SA"/>
    </w:rPr>
  </w:style>
  <w:style w:type="paragraph" w:customStyle="1" w:styleId="62">
    <w:name w:val="_Style 2"/>
    <w:basedOn w:val="1"/>
    <w:autoRedefine/>
    <w:qFormat/>
    <w:uiPriority w:val="34"/>
    <w:pPr>
      <w:ind w:firstLine="420" w:firstLineChars="200"/>
    </w:pPr>
    <w:rPr>
      <w:rFonts w:ascii="Calibri" w:hAnsi="Calibri"/>
    </w:rPr>
  </w:style>
  <w:style w:type="paragraph" w:customStyle="1" w:styleId="63">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4">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5">
    <w:name w:val="Char1"/>
    <w:basedOn w:val="1"/>
    <w:autoRedefine/>
    <w:qFormat/>
    <w:uiPriority w:val="0"/>
  </w:style>
  <w:style w:type="paragraph" w:customStyle="1" w:styleId="66">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7">
    <w:name w:val="Table Paragraph"/>
    <w:basedOn w:val="1"/>
    <w:autoRedefine/>
    <w:qFormat/>
    <w:uiPriority w:val="1"/>
    <w:pPr>
      <w:jc w:val="left"/>
    </w:pPr>
    <w:rPr>
      <w:rFonts w:ascii="宋体" w:hAnsi="宋体" w:cs="宋体"/>
      <w:kern w:val="0"/>
      <w:sz w:val="22"/>
      <w:szCs w:val="22"/>
      <w:lang w:eastAsia="en-US"/>
    </w:rPr>
  </w:style>
  <w:style w:type="paragraph" w:customStyle="1" w:styleId="68">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9">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70">
    <w:name w:val="列出段落1"/>
    <w:basedOn w:val="1"/>
    <w:autoRedefine/>
    <w:qFormat/>
    <w:uiPriority w:val="34"/>
    <w:pPr>
      <w:ind w:firstLine="420" w:firstLineChars="200"/>
    </w:pPr>
  </w:style>
  <w:style w:type="paragraph" w:customStyle="1" w:styleId="71">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2">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4">
    <w:name w:val="列出段落11"/>
    <w:basedOn w:val="1"/>
    <w:autoRedefine/>
    <w:qFormat/>
    <w:uiPriority w:val="0"/>
    <w:pPr>
      <w:ind w:firstLine="420" w:firstLineChars="200"/>
    </w:pPr>
    <w:rPr>
      <w:rFonts w:ascii="Calibri" w:hAnsi="Calibri"/>
      <w:szCs w:val="22"/>
    </w:rPr>
  </w:style>
  <w:style w:type="character" w:customStyle="1" w:styleId="75">
    <w:name w:val="正文文本 Char"/>
    <w:basedOn w:val="37"/>
    <w:link w:val="5"/>
    <w:autoRedefine/>
    <w:qFormat/>
    <w:uiPriority w:val="0"/>
  </w:style>
  <w:style w:type="character" w:customStyle="1" w:styleId="76">
    <w:name w:val="apple-converted-space"/>
    <w:basedOn w:val="37"/>
    <w:autoRedefine/>
    <w:qFormat/>
    <w:uiPriority w:val="0"/>
  </w:style>
  <w:style w:type="character" w:customStyle="1" w:styleId="77">
    <w:name w:val="文档结构图 Char"/>
    <w:link w:val="14"/>
    <w:autoRedefine/>
    <w:qFormat/>
    <w:uiPriority w:val="0"/>
    <w:rPr>
      <w:rFonts w:ascii="宋体"/>
      <w:kern w:val="2"/>
      <w:sz w:val="18"/>
      <w:szCs w:val="18"/>
    </w:rPr>
  </w:style>
  <w:style w:type="character" w:customStyle="1" w:styleId="78">
    <w:name w:val="不明显强调1"/>
    <w:autoRedefine/>
    <w:qFormat/>
    <w:uiPriority w:val="19"/>
    <w:rPr>
      <w:i/>
      <w:iCs/>
      <w:color w:val="7F7F7F"/>
      <w:szCs w:val="24"/>
    </w:rPr>
  </w:style>
  <w:style w:type="character" w:customStyle="1" w:styleId="79">
    <w:name w:val="font71"/>
    <w:autoRedefine/>
    <w:qFormat/>
    <w:uiPriority w:val="0"/>
    <w:rPr>
      <w:rFonts w:hint="eastAsia" w:ascii="宋体" w:hAnsi="宋体" w:eastAsia="宋体" w:cs="宋体"/>
      <w:color w:val="000000"/>
      <w:sz w:val="28"/>
      <w:szCs w:val="28"/>
      <w:u w:val="none"/>
    </w:rPr>
  </w:style>
  <w:style w:type="character" w:customStyle="1" w:styleId="80">
    <w:name w:val="font21"/>
    <w:autoRedefine/>
    <w:qFormat/>
    <w:uiPriority w:val="0"/>
    <w:rPr>
      <w:rFonts w:hint="default" w:ascii="Calibri" w:hAnsi="Calibri" w:cs="Calibri"/>
      <w:color w:val="000000"/>
      <w:sz w:val="28"/>
      <w:szCs w:val="28"/>
      <w:u w:val="none"/>
    </w:rPr>
  </w:style>
  <w:style w:type="character" w:customStyle="1" w:styleId="81">
    <w:name w:val="17"/>
    <w:autoRedefine/>
    <w:qFormat/>
    <w:uiPriority w:val="0"/>
    <w:rPr>
      <w:rFonts w:hint="eastAsia" w:ascii="宋体" w:hAnsi="宋体" w:eastAsia="宋体"/>
      <w:color w:val="000000"/>
    </w:rPr>
  </w:style>
  <w:style w:type="character" w:customStyle="1" w:styleId="82">
    <w:name w:val="font91"/>
    <w:autoRedefine/>
    <w:qFormat/>
    <w:uiPriority w:val="0"/>
    <w:rPr>
      <w:rFonts w:hint="eastAsia" w:ascii="宋体" w:hAnsi="宋体" w:eastAsia="宋体" w:cs="宋体"/>
      <w:color w:val="FF0000"/>
      <w:sz w:val="28"/>
      <w:szCs w:val="28"/>
      <w:u w:val="none"/>
    </w:rPr>
  </w:style>
  <w:style w:type="paragraph" w:customStyle="1" w:styleId="83">
    <w:name w:val="p"/>
    <w:basedOn w:val="1"/>
    <w:autoRedefine/>
    <w:qFormat/>
    <w:uiPriority w:val="0"/>
    <w:pPr>
      <w:widowControl/>
      <w:spacing w:line="432" w:lineRule="auto"/>
      <w:jc w:val="left"/>
    </w:pPr>
    <w:rPr>
      <w:rFonts w:ascii="宋体" w:hAnsi="宋体" w:cs="宋体"/>
      <w:kern w:val="0"/>
      <w:sz w:val="24"/>
    </w:rPr>
  </w:style>
  <w:style w:type="paragraph" w:customStyle="1" w:styleId="84">
    <w:name w:val="WPSOffice手动目录 1"/>
    <w:autoRedefine/>
    <w:qFormat/>
    <w:uiPriority w:val="0"/>
    <w:rPr>
      <w:rFonts w:ascii="Times New Roman" w:hAnsi="Times New Roman" w:eastAsia="宋体" w:cs="Times New Roman"/>
      <w:lang w:val="en-US" w:eastAsia="zh-CN" w:bidi="ar-SA"/>
    </w:rPr>
  </w:style>
  <w:style w:type="paragraph" w:customStyle="1" w:styleId="85">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6">
    <w:name w:val="表格文字"/>
    <w:basedOn w:val="1"/>
    <w:next w:val="5"/>
    <w:autoRedefine/>
    <w:qFormat/>
    <w:uiPriority w:val="0"/>
    <w:pPr>
      <w:adjustRightInd w:val="0"/>
      <w:spacing w:line="420" w:lineRule="atLeast"/>
      <w:jc w:val="left"/>
      <w:textAlignment w:val="baseline"/>
    </w:pPr>
    <w:rPr>
      <w:kern w:val="0"/>
      <w:szCs w:val="20"/>
    </w:rPr>
  </w:style>
  <w:style w:type="character" w:customStyle="1" w:styleId="87">
    <w:name w:val="NormalCharacter"/>
    <w:link w:val="1"/>
    <w:autoRedefine/>
    <w:semiHidden/>
    <w:qFormat/>
    <w:uiPriority w:val="0"/>
    <w:rPr>
      <w:rFonts w:ascii="Times New Roman" w:hAnsi="Times New Roman" w:eastAsia="宋体" w:cs="Times New Roman"/>
      <w:kern w:val="2"/>
      <w:sz w:val="21"/>
      <w:szCs w:val="24"/>
      <w:lang w:val="en-US" w:eastAsia="zh-CN" w:bidi="ar-SA"/>
    </w:rPr>
  </w:style>
  <w:style w:type="paragraph" w:customStyle="1" w:styleId="88">
    <w:name w:val="列表段落1"/>
    <w:basedOn w:val="1"/>
    <w:autoRedefine/>
    <w:qFormat/>
    <w:uiPriority w:val="34"/>
    <w:pPr>
      <w:widowControl/>
      <w:ind w:firstLine="420"/>
      <w:jc w:val="left"/>
    </w:pPr>
    <w:rPr>
      <w:kern w:val="0"/>
    </w:rPr>
  </w:style>
  <w:style w:type="paragraph" w:styleId="89">
    <w:name w:val="List Paragraph"/>
    <w:basedOn w:val="1"/>
    <w:autoRedefine/>
    <w:qFormat/>
    <w:uiPriority w:val="34"/>
    <w:pPr>
      <w:ind w:firstLine="420" w:firstLineChars="200"/>
    </w:pPr>
  </w:style>
  <w:style w:type="character" w:customStyle="1" w:styleId="90">
    <w:name w:val="hover18"/>
    <w:basedOn w:val="37"/>
    <w:autoRedefine/>
    <w:qFormat/>
    <w:uiPriority w:val="0"/>
  </w:style>
  <w:style w:type="table" w:customStyle="1" w:styleId="91">
    <w:name w:val="Table Normal"/>
    <w:autoRedefine/>
    <w:qFormat/>
    <w:uiPriority w:val="0"/>
    <w:tblPr>
      <w:tblCellMar>
        <w:top w:w="0" w:type="dxa"/>
        <w:left w:w="0" w:type="dxa"/>
        <w:bottom w:w="0" w:type="dxa"/>
        <w:right w:w="0" w:type="dxa"/>
      </w:tblCellMar>
    </w:tblPr>
  </w:style>
  <w:style w:type="paragraph" w:customStyle="1" w:styleId="92">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15733</Words>
  <Characters>16430</Characters>
  <Lines>50</Lines>
  <Paragraphs>68</Paragraphs>
  <TotalTime>10</TotalTime>
  <ScaleCrop>false</ScaleCrop>
  <LinksUpToDate>false</LinksUpToDate>
  <CharactersWithSpaces>17440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2024-06-21T08:48:27Z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6B4FDCA957CB4E82998C2E32247B97ED_13</vt:lpwstr>
  </property>
</Properties>
</file>